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1F62">
      <w:pPr>
        <w:pStyle w:val="120"/>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rPr>
        <w:t>13.100</w:t>
      </w:r>
      <w:r>
        <w:fldChar w:fldCharType="end"/>
      </w:r>
      <w:bookmarkEnd w:id="0"/>
    </w:p>
    <w:p w14:paraId="1F990EF3">
      <w:pPr>
        <w:pStyle w:val="120"/>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rPr>
        <w:t>C 67</w:t>
      </w:r>
      <w:r>
        <w:fldChar w:fldCharType="end"/>
      </w:r>
      <w:bookmarkEnd w:id="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2EAF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shd w:val="clear" w:color="auto" w:fill="auto"/>
          </w:tcPr>
          <w:p w14:paraId="19E329DC">
            <w:pPr>
              <w:pStyle w:val="120"/>
              <w:framePr w:wrap="around"/>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yEkx1Q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M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MhJMdUNAgAAIAQAAA4AAAAAAAAAAQAg&#10;AAAAJAEAAGRycy9lMm9Eb2MueG1sUEsFBgAAAAAGAAYAWQEAAKMFA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14:paraId="54A1A9AD">
      <w:pPr>
        <w:pStyle w:val="106"/>
        <w:framePr w:wrap="around"/>
      </w:pPr>
      <w:r>
        <w:t>DB</w:t>
      </w:r>
      <w:r>
        <w:fldChar w:fldCharType="begin">
          <w:ffData>
            <w:name w:val="c3"/>
            <w:enabled/>
            <w:calcOnExit w:val="0"/>
            <w:entryMacro w:val="ShowHelp16"/>
            <w:textInput>
              <w:maxLength w:val="2"/>
            </w:textInput>
          </w:ffData>
        </w:fldChar>
      </w:r>
      <w:bookmarkStart w:id="3" w:name="c3"/>
      <w:r>
        <w:instrText xml:space="preserve"> FORMTEXT </w:instrText>
      </w:r>
      <w:r>
        <w:fldChar w:fldCharType="separate"/>
      </w:r>
      <w:r>
        <w:rPr>
          <w:rFonts w:hint="eastAsia"/>
        </w:rPr>
        <w:t>21</w:t>
      </w:r>
      <w:r>
        <w:fldChar w:fldCharType="end"/>
      </w:r>
      <w:bookmarkEnd w:id="3"/>
    </w:p>
    <w:p w14:paraId="4763C551">
      <w:pPr>
        <w:pStyle w:val="107"/>
        <w:framePr w:wrap="around"/>
      </w:pPr>
      <w:r>
        <w:fldChar w:fldCharType="begin">
          <w:ffData>
            <w:name w:val="c4"/>
            <w:enabled/>
            <w:calcOnExit w:val="0"/>
            <w:entryMacro w:val="showhelp12"/>
            <w:textInput/>
          </w:ffData>
        </w:fldChar>
      </w:r>
      <w:bookmarkStart w:id="4" w:name="c4"/>
      <w:r>
        <w:instrText xml:space="preserve"> FORMTEXT </w:instrText>
      </w:r>
      <w:r>
        <w:fldChar w:fldCharType="separate"/>
      </w:r>
      <w:r>
        <w:rPr>
          <w:rFonts w:hint="eastAsia"/>
        </w:rPr>
        <w:t>辽宁省</w:t>
      </w:r>
      <w:r>
        <w:fldChar w:fldCharType="end"/>
      </w:r>
      <w:bookmarkEnd w:id="4"/>
      <w:r>
        <w:rPr>
          <w:rFonts w:hint="eastAsia"/>
        </w:rPr>
        <w:t>地方标准</w:t>
      </w:r>
    </w:p>
    <w:p w14:paraId="70DD79F7">
      <w:pPr>
        <w:pStyle w:val="44"/>
        <w:framePr w:wrap="around"/>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5" w:name="StdNo0"/>
      <w:r>
        <w:rPr>
          <w:rFonts w:hAnsi="黑体"/>
        </w:rPr>
        <w:instrText xml:space="preserve"> FORMTEXT </w:instrText>
      </w:r>
      <w:r>
        <w:rPr>
          <w:rFonts w:hAnsi="黑体"/>
        </w:rPr>
        <w:fldChar w:fldCharType="separate"/>
      </w:r>
      <w:r>
        <w:rPr>
          <w:rFonts w:hint="eastAsia" w:hAnsi="黑体"/>
        </w:rPr>
        <w:t>21</w:t>
      </w:r>
      <w:r>
        <w:rPr>
          <w:rFonts w:hAnsi="黑体"/>
        </w:rPr>
        <w:fldChar w:fldCharType="end"/>
      </w:r>
      <w:bookmarkEnd w:id="5"/>
      <w:r>
        <w:rPr>
          <w:rFonts w:hAnsi="黑体"/>
        </w:rPr>
        <w:t xml:space="preserve">/ </w:t>
      </w:r>
      <w:r>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Pr>
          <w:rFonts w:hAnsi="黑体"/>
        </w:rPr>
        <w:fldChar w:fldCharType="separate"/>
      </w:r>
      <w:r>
        <w:rPr>
          <w:rFonts w:hAnsi="黑体"/>
        </w:rPr>
        <w:t>T</w:t>
      </w:r>
      <w:r>
        <w:rPr>
          <w:rFonts w:hint="eastAsia" w:hAnsi="黑体"/>
        </w:rPr>
        <w:t>2521</w:t>
      </w:r>
      <w:r>
        <w:rPr>
          <w:rFonts w:hAnsi="黑体"/>
        </w:rPr>
        <w:fldChar w:fldCharType="end"/>
      </w:r>
      <w:bookmarkEnd w:id="6"/>
      <w:r>
        <w:rPr>
          <w:rFonts w:hAnsi="黑体"/>
        </w:rPr>
        <w:t>—</w:t>
      </w:r>
      <w:r>
        <w:rPr>
          <w:rFonts w:hAnsi="黑体"/>
        </w:rPr>
        <w:fldChar w:fldCharType="begin">
          <w:ffData>
            <w:name w:val="StdNo2"/>
            <w:enabled/>
            <w:calcOnExit w:val="0"/>
            <w:textInput>
              <w:default w:val="XXXX"/>
              <w:maxLength w:val="4"/>
            </w:textInput>
          </w:ffData>
        </w:fldChar>
      </w:r>
      <w:bookmarkStart w:id="7"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7"/>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6862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0F5EE6EB">
            <w:pPr>
              <w:pStyle w:val="73"/>
              <w:framePr w:wrap="around"/>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entryMacro w:val="ShowHelp4"/>
                  <w:textInput/>
                </w:ffData>
              </w:fldChar>
            </w:r>
            <w:bookmarkStart w:id="8" w:name="DT"/>
            <w:r>
              <w:instrText xml:space="preserve"> FORMTEXT </w:instrText>
            </w:r>
            <w:r>
              <w:fldChar w:fldCharType="separate"/>
            </w:r>
            <w:r>
              <w:rPr>
                <w:rFonts w:hint="eastAsia"/>
              </w:rPr>
              <w:t>代替DB21/T2521-2015</w:t>
            </w:r>
            <w:r>
              <w:fldChar w:fldCharType="end"/>
            </w:r>
            <w:bookmarkEnd w:id="8"/>
          </w:p>
        </w:tc>
      </w:tr>
    </w:tbl>
    <w:p w14:paraId="4DE69071">
      <w:pPr>
        <w:pStyle w:val="44"/>
        <w:framePr w:wrap="around"/>
        <w:rPr>
          <w:rFonts w:hAnsi="黑体"/>
        </w:rPr>
      </w:pPr>
    </w:p>
    <w:p w14:paraId="2A5860D7">
      <w:pPr>
        <w:pStyle w:val="44"/>
        <w:framePr w:wrap="around"/>
        <w:rPr>
          <w:rFonts w:hAnsi="黑体"/>
        </w:rPr>
      </w:pPr>
    </w:p>
    <w:p w14:paraId="556D7AFC">
      <w:pPr>
        <w:pStyle w:val="75"/>
        <w:framePr w:wrap="around"/>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rPr>
        <w:t>化学合成制药安全生产技术规程</w:t>
      </w:r>
      <w:r>
        <w:fldChar w:fldCharType="end"/>
      </w:r>
      <w:bookmarkEnd w:id="9"/>
    </w:p>
    <w:p w14:paraId="5E1F4604">
      <w:pPr>
        <w:pStyle w:val="76"/>
        <w:framePr w:wrap="around"/>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rPr>
          <w:rFonts w:hint="eastAsia"/>
        </w:rPr>
        <w:t>Technical regulation of safety prouduction for chemical syntyesis of pharmacy</w:t>
      </w:r>
      <w:r>
        <w:fldChar w:fldCharType="end"/>
      </w:r>
      <w:bookmarkEnd w:id="10"/>
    </w:p>
    <w:p w14:paraId="08443E2F">
      <w:pPr>
        <w:pStyle w:val="77"/>
        <w:framePr w:wrap="around"/>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rPr>
          <w:rFonts w:hint="eastAsia"/>
        </w:rPr>
        <w:t>点击此处添加与国际标准一致性程度的标识</w:t>
      </w:r>
      <w:r>
        <w:fldChar w:fldCharType="end"/>
      </w:r>
      <w:bookmarkEnd w:id="1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6104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3CD05D6A">
            <w:pPr>
              <w:pStyle w:val="78"/>
              <w:framePr w:wrap="around"/>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127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14:paraId="6AFA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BC65179">
            <w:pPr>
              <w:pStyle w:val="79"/>
              <w:framePr w:wrap="around"/>
            </w:pPr>
            <w:r>
              <w:fldChar w:fldCharType="begin">
                <w:ffData>
                  <w:name w:val="WCRQ"/>
                  <w:enabled/>
                  <w:calcOnExit w:val="0"/>
                  <w:textInput/>
                </w:ffData>
              </w:fldChar>
            </w:r>
            <w:bookmarkStart w:id="13" w:name="WCRQ"/>
            <w:r>
              <w:instrText xml:space="preserve"> FORMTEXT </w:instrText>
            </w:r>
            <w:r>
              <w:fldChar w:fldCharType="separate"/>
            </w:r>
            <w:r>
              <w:rPr>
                <w:rFonts w:hint="eastAsia"/>
              </w:rPr>
              <w:t>（本稿完成日期：）</w:t>
            </w:r>
            <w:r>
              <w:fldChar w:fldCharType="end"/>
            </w:r>
            <w:bookmarkEnd w:id="13"/>
          </w:p>
        </w:tc>
      </w:tr>
    </w:tbl>
    <w:p w14:paraId="72D83055">
      <w:pPr>
        <w:pStyle w:val="128"/>
        <w:framePr w:wrap="around"/>
      </w:pPr>
      <w:r>
        <w:rPr>
          <w:rFonts w:ascii="黑体"/>
        </w:rPr>
        <w:fldChar w:fldCharType="begin">
          <w:ffData>
            <w:name w:val="FY"/>
            <w:enabled/>
            <w:calcOnExit w:val="0"/>
            <w:entryMacro w:val="ShowHelp8"/>
            <w:textInput>
              <w:default w:val="XXXX"/>
              <w:maxLength w:val="4"/>
            </w:textInput>
          </w:ffData>
        </w:fldChar>
      </w:r>
      <w:bookmarkStart w:id="14"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bookmarkStart w:id="15"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Ddlmv3KAQAAoAMAAA4AAAAAAAAAAQAgAAAAJQEAAGRy&#10;cy9lMm9Eb2MueG1sUEsFBgAAAAAGAAYAWQEAAGEFAAAAAA==&#10;">
                <v:fill on="f" focussize="0,0"/>
                <v:stroke color="#000000" joinstyle="round"/>
                <v:imagedata o:title=""/>
                <o:lock v:ext="edit" aspectratio="f"/>
                <w10:anchorlock/>
              </v:line>
            </w:pict>
          </mc:Fallback>
        </mc:AlternateContent>
      </w:r>
    </w:p>
    <w:p w14:paraId="6D2C7478">
      <w:pPr>
        <w:pStyle w:val="129"/>
        <w:framePr w:wrap="around"/>
      </w:pPr>
      <w:r>
        <w:rPr>
          <w:rFonts w:ascii="黑体"/>
        </w:rPr>
        <w:fldChar w:fldCharType="begin">
          <w:ffData>
            <w:name w:val="SY"/>
            <w:enabled/>
            <w:calcOnExit w:val="0"/>
            <w:entryMacro w:val="ShowHelp9"/>
            <w:textInput>
              <w:default w:val="XXXX"/>
              <w:maxLength w:val="4"/>
            </w:textInput>
          </w:ffData>
        </w:fldChar>
      </w:r>
      <w:bookmarkStart w:id="16"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bookmarkStart w:id="17"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bookmarkStart w:id="18"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0897BDBE">
      <w:pPr>
        <w:pStyle w:val="108"/>
        <w:framePr w:wrap="around"/>
      </w:pPr>
      <w:r>
        <w:fldChar w:fldCharType="begin">
          <w:ffData>
            <w:name w:val="fm"/>
            <w:enabled/>
            <w:calcOnExit w:val="0"/>
            <w:textInput/>
          </w:ffData>
        </w:fldChar>
      </w:r>
      <w:bookmarkStart w:id="19" w:name="fm"/>
      <w:r>
        <w:instrText xml:space="preserve"> FORMTEXT </w:instrText>
      </w:r>
      <w:r>
        <w:fldChar w:fldCharType="separate"/>
      </w:r>
      <w:r>
        <w:rPr>
          <w:rFonts w:hint="eastAsia"/>
        </w:rPr>
        <w:t>辽宁省质量技术监督局</w:t>
      </w:r>
      <w:r>
        <w:fldChar w:fldCharType="end"/>
      </w:r>
      <w:bookmarkEnd w:id="19"/>
      <w:r>
        <w:rPr>
          <w:rFonts w:hAnsi="黑体"/>
        </w:rPr>
        <w:t>   </w:t>
      </w:r>
      <w:r>
        <w:rPr>
          <w:rStyle w:val="70"/>
          <w:rFonts w:hint="eastAsia"/>
        </w:rPr>
        <w:t>发布</w:t>
      </w:r>
    </w:p>
    <w:p w14:paraId="32C2364C">
      <w:pPr>
        <w:pStyle w:val="23"/>
        <w:sectPr>
          <w:headerReference r:id="rId3" w:type="even"/>
          <w:footerReference r:id="rId4" w:type="even"/>
          <w:pgSz w:w="11906" w:h="16838"/>
          <w:pgMar w:top="567" w:right="1134" w:bottom="1134" w:left="1417" w:header="0" w:footer="0" w:gutter="0"/>
          <w:pgNumType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78A696F5">
      <w:pPr>
        <w:pStyle w:val="47"/>
      </w:pPr>
      <w:bookmarkStart w:id="20" w:name="_Toc423007377"/>
      <w:r>
        <w:rPr>
          <w:rFonts w:hint="eastAsia"/>
        </w:rPr>
        <w:t>目</w:t>
      </w:r>
      <w:bookmarkStart w:id="21" w:name="BKML"/>
      <w:r>
        <w:rPr>
          <w:rFonts w:hAnsi="黑体"/>
        </w:rPr>
        <w:t>  </w:t>
      </w:r>
      <w:r>
        <w:rPr>
          <w:rFonts w:hint="eastAsia"/>
        </w:rPr>
        <w:t>次</w:t>
      </w:r>
      <w:bookmarkEnd w:id="21"/>
    </w:p>
    <w:p w14:paraId="5EFF958C">
      <w:pPr>
        <w:pStyle w:val="19"/>
        <w:spacing w:before="78" w:after="78"/>
        <w:rPr>
          <w:rFonts w:ascii="Calibri" w:hAnsi="Calibri"/>
          <w:szCs w:val="22"/>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p>
    <w:p w14:paraId="2640C62F">
      <w:pPr>
        <w:pStyle w:val="19"/>
        <w:spacing w:before="78" w:after="78"/>
        <w:rPr>
          <w:rFonts w:ascii="Calibri" w:hAnsi="Calibri"/>
          <w:szCs w:val="22"/>
        </w:rPr>
      </w:pPr>
      <w:r>
        <w:fldChar w:fldCharType="begin"/>
      </w:r>
      <w:r>
        <w:instrText xml:space="preserve"> HYPERLINK \l "_Toc423007760" </w:instrText>
      </w:r>
      <w:r>
        <w:fldChar w:fldCharType="separate"/>
      </w:r>
      <w:r>
        <w:rPr>
          <w:rStyle w:val="36"/>
        </w:rPr>
        <w:t>1</w:t>
      </w:r>
      <w:r>
        <w:rPr>
          <w:rStyle w:val="36"/>
          <w:rFonts w:hint="eastAsia"/>
        </w:rPr>
        <w:t>　范围</w:t>
      </w:r>
      <w:r>
        <w:tab/>
      </w:r>
      <w:r>
        <w:fldChar w:fldCharType="begin" w:fldLock="1"/>
      </w:r>
      <w:r>
        <w:instrText xml:space="preserve"> PAGEREF _Toc423007760 \h </w:instrText>
      </w:r>
      <w:r>
        <w:fldChar w:fldCharType="separate"/>
      </w:r>
      <w:r>
        <w:t>1</w:t>
      </w:r>
      <w:r>
        <w:fldChar w:fldCharType="end"/>
      </w:r>
      <w:r>
        <w:fldChar w:fldCharType="end"/>
      </w:r>
    </w:p>
    <w:p w14:paraId="62D7A131">
      <w:pPr>
        <w:pStyle w:val="19"/>
        <w:spacing w:before="78" w:after="78"/>
        <w:rPr>
          <w:rFonts w:ascii="Calibri" w:hAnsi="Calibri"/>
          <w:szCs w:val="22"/>
        </w:rPr>
      </w:pPr>
      <w:r>
        <w:fldChar w:fldCharType="begin"/>
      </w:r>
      <w:r>
        <w:instrText xml:space="preserve"> HYPERLINK \l "_Toc423007761" </w:instrText>
      </w:r>
      <w:r>
        <w:fldChar w:fldCharType="separate"/>
      </w:r>
      <w:r>
        <w:rPr>
          <w:rStyle w:val="36"/>
        </w:rPr>
        <w:t>2</w:t>
      </w:r>
      <w:r>
        <w:rPr>
          <w:rStyle w:val="36"/>
          <w:rFonts w:hint="eastAsia"/>
        </w:rPr>
        <w:t>　规范性引用文件</w:t>
      </w:r>
      <w:r>
        <w:tab/>
      </w:r>
      <w:r>
        <w:fldChar w:fldCharType="begin" w:fldLock="1"/>
      </w:r>
      <w:r>
        <w:instrText xml:space="preserve"> PAGEREF _Toc423007761 \h </w:instrText>
      </w:r>
      <w:r>
        <w:fldChar w:fldCharType="separate"/>
      </w:r>
      <w:r>
        <w:t>1</w:t>
      </w:r>
      <w:r>
        <w:fldChar w:fldCharType="end"/>
      </w:r>
      <w:r>
        <w:fldChar w:fldCharType="end"/>
      </w:r>
    </w:p>
    <w:p w14:paraId="4B12FF46">
      <w:pPr>
        <w:pStyle w:val="19"/>
        <w:spacing w:before="78" w:after="78"/>
        <w:rPr>
          <w:rFonts w:ascii="Calibri" w:hAnsi="Calibri"/>
          <w:szCs w:val="22"/>
        </w:rPr>
      </w:pPr>
      <w:r>
        <w:fldChar w:fldCharType="begin"/>
      </w:r>
      <w:r>
        <w:instrText xml:space="preserve"> HYPERLINK \l "_Toc423007762" </w:instrText>
      </w:r>
      <w:r>
        <w:fldChar w:fldCharType="separate"/>
      </w:r>
      <w:r>
        <w:rPr>
          <w:rStyle w:val="36"/>
        </w:rPr>
        <w:t>3</w:t>
      </w:r>
      <w:r>
        <w:rPr>
          <w:rStyle w:val="36"/>
          <w:rFonts w:hint="eastAsia"/>
        </w:rPr>
        <w:t>　术语和定义</w:t>
      </w:r>
      <w:r>
        <w:tab/>
      </w:r>
      <w:r>
        <w:fldChar w:fldCharType="begin" w:fldLock="1"/>
      </w:r>
      <w:r>
        <w:instrText xml:space="preserve"> PAGEREF _Toc423007762 \h </w:instrText>
      </w:r>
      <w:r>
        <w:fldChar w:fldCharType="separate"/>
      </w:r>
      <w:r>
        <w:t>1</w:t>
      </w:r>
      <w:r>
        <w:fldChar w:fldCharType="end"/>
      </w:r>
      <w:r>
        <w:fldChar w:fldCharType="end"/>
      </w:r>
    </w:p>
    <w:p w14:paraId="6A3AB99D">
      <w:pPr>
        <w:pStyle w:val="19"/>
        <w:spacing w:before="78" w:after="78"/>
        <w:rPr>
          <w:rFonts w:ascii="Calibri" w:hAnsi="Calibri"/>
          <w:szCs w:val="22"/>
        </w:rPr>
      </w:pPr>
      <w:r>
        <w:fldChar w:fldCharType="begin"/>
      </w:r>
      <w:r>
        <w:instrText xml:space="preserve"> HYPERLINK \l "_Toc423007763" </w:instrText>
      </w:r>
      <w:r>
        <w:fldChar w:fldCharType="separate"/>
      </w:r>
      <w:r>
        <w:rPr>
          <w:rStyle w:val="36"/>
        </w:rPr>
        <w:t>4</w:t>
      </w:r>
      <w:r>
        <w:rPr>
          <w:rStyle w:val="36"/>
          <w:rFonts w:hint="eastAsia"/>
        </w:rPr>
        <w:t>　厂址、总平面布置</w:t>
      </w:r>
      <w:r>
        <w:tab/>
      </w:r>
      <w:r>
        <w:fldChar w:fldCharType="begin" w:fldLock="1"/>
      </w:r>
      <w:r>
        <w:instrText xml:space="preserve"> PAGEREF _Toc423007763 \h </w:instrText>
      </w:r>
      <w:r>
        <w:fldChar w:fldCharType="separate"/>
      </w:r>
      <w:r>
        <w:t>2</w:t>
      </w:r>
      <w:r>
        <w:fldChar w:fldCharType="end"/>
      </w:r>
      <w:r>
        <w:fldChar w:fldCharType="end"/>
      </w:r>
    </w:p>
    <w:p w14:paraId="740979F3">
      <w:pPr>
        <w:pStyle w:val="19"/>
        <w:spacing w:before="78" w:after="78"/>
        <w:rPr>
          <w:rFonts w:ascii="Calibri" w:hAnsi="Calibri"/>
          <w:szCs w:val="22"/>
        </w:rPr>
      </w:pPr>
      <w:r>
        <w:fldChar w:fldCharType="begin"/>
      </w:r>
      <w:r>
        <w:instrText xml:space="preserve"> HYPERLINK \l "_Toc423007764" </w:instrText>
      </w:r>
      <w:r>
        <w:fldChar w:fldCharType="separate"/>
      </w:r>
      <w:r>
        <w:rPr>
          <w:rStyle w:val="36"/>
        </w:rPr>
        <w:t>5</w:t>
      </w:r>
      <w:r>
        <w:rPr>
          <w:rStyle w:val="36"/>
          <w:rFonts w:hint="eastAsia"/>
        </w:rPr>
        <w:t>　厂房与仓库</w:t>
      </w:r>
      <w:r>
        <w:tab/>
      </w:r>
      <w:r>
        <w:fldChar w:fldCharType="begin" w:fldLock="1"/>
      </w:r>
      <w:r>
        <w:instrText xml:space="preserve"> PAGEREF _Toc423007764 \h </w:instrText>
      </w:r>
      <w:r>
        <w:fldChar w:fldCharType="separate"/>
      </w:r>
      <w:r>
        <w:t>3</w:t>
      </w:r>
      <w:r>
        <w:fldChar w:fldCharType="end"/>
      </w:r>
      <w:r>
        <w:fldChar w:fldCharType="end"/>
      </w:r>
    </w:p>
    <w:p w14:paraId="1F8460E3">
      <w:pPr>
        <w:pStyle w:val="19"/>
        <w:spacing w:before="78" w:after="78"/>
        <w:rPr>
          <w:rFonts w:ascii="Calibri" w:hAnsi="Calibri"/>
          <w:szCs w:val="22"/>
        </w:rPr>
      </w:pPr>
      <w:r>
        <w:fldChar w:fldCharType="begin"/>
      </w:r>
      <w:r>
        <w:instrText xml:space="preserve"> HYPERLINK \l "_Toc423007765" </w:instrText>
      </w:r>
      <w:r>
        <w:fldChar w:fldCharType="separate"/>
      </w:r>
      <w:r>
        <w:rPr>
          <w:rStyle w:val="36"/>
        </w:rPr>
        <w:t>6</w:t>
      </w:r>
      <w:r>
        <w:rPr>
          <w:rStyle w:val="36"/>
          <w:rFonts w:hint="eastAsia"/>
        </w:rPr>
        <w:t>　工艺装置</w:t>
      </w:r>
      <w:r>
        <w:tab/>
      </w:r>
      <w:r>
        <w:fldChar w:fldCharType="begin" w:fldLock="1"/>
      </w:r>
      <w:r>
        <w:instrText xml:space="preserve"> PAGEREF _Toc423007765 \h </w:instrText>
      </w:r>
      <w:r>
        <w:fldChar w:fldCharType="separate"/>
      </w:r>
      <w:r>
        <w:t>5</w:t>
      </w:r>
      <w:r>
        <w:fldChar w:fldCharType="end"/>
      </w:r>
      <w:r>
        <w:fldChar w:fldCharType="end"/>
      </w:r>
    </w:p>
    <w:p w14:paraId="70CC1E0D">
      <w:pPr>
        <w:pStyle w:val="19"/>
        <w:spacing w:before="78" w:after="78"/>
        <w:rPr>
          <w:rFonts w:ascii="Calibri" w:hAnsi="Calibri"/>
          <w:szCs w:val="22"/>
        </w:rPr>
      </w:pPr>
      <w:r>
        <w:fldChar w:fldCharType="begin"/>
      </w:r>
      <w:r>
        <w:instrText xml:space="preserve"> HYPERLINK \l "_Toc423007766" </w:instrText>
      </w:r>
      <w:r>
        <w:fldChar w:fldCharType="separate"/>
      </w:r>
      <w:r>
        <w:rPr>
          <w:rStyle w:val="36"/>
        </w:rPr>
        <w:t>7</w:t>
      </w:r>
      <w:r>
        <w:rPr>
          <w:rStyle w:val="36"/>
          <w:rFonts w:hint="eastAsia"/>
        </w:rPr>
        <w:t>　罐区及管线</w:t>
      </w:r>
      <w:r>
        <w:tab/>
      </w:r>
      <w:r>
        <w:rPr>
          <w:rFonts w:hint="eastAsia"/>
        </w:rPr>
        <w:t>7</w:t>
      </w:r>
      <w:r>
        <w:rPr>
          <w:rFonts w:hint="eastAsia"/>
        </w:rPr>
        <w:fldChar w:fldCharType="end"/>
      </w:r>
    </w:p>
    <w:p w14:paraId="0D24C820">
      <w:pPr>
        <w:pStyle w:val="19"/>
        <w:spacing w:before="78" w:after="78"/>
        <w:rPr>
          <w:rFonts w:ascii="Calibri" w:hAnsi="Calibri"/>
          <w:szCs w:val="22"/>
        </w:rPr>
      </w:pPr>
      <w:r>
        <w:fldChar w:fldCharType="begin"/>
      </w:r>
      <w:r>
        <w:instrText xml:space="preserve"> HYPERLINK \l "_Toc423007767" </w:instrText>
      </w:r>
      <w:r>
        <w:fldChar w:fldCharType="separate"/>
      </w:r>
      <w:r>
        <w:rPr>
          <w:rStyle w:val="36"/>
        </w:rPr>
        <w:t>8</w:t>
      </w:r>
      <w:r>
        <w:rPr>
          <w:rStyle w:val="36"/>
          <w:rFonts w:hint="eastAsia"/>
        </w:rPr>
        <w:t>　电气设施</w:t>
      </w:r>
      <w:r>
        <w:tab/>
      </w:r>
      <w:r>
        <w:rPr>
          <w:rFonts w:hint="eastAsia"/>
        </w:rPr>
        <w:t>8</w:t>
      </w:r>
      <w:r>
        <w:rPr>
          <w:rFonts w:hint="eastAsia"/>
        </w:rPr>
        <w:fldChar w:fldCharType="end"/>
      </w:r>
    </w:p>
    <w:p w14:paraId="78C2C93B">
      <w:pPr>
        <w:pStyle w:val="19"/>
        <w:spacing w:before="78" w:after="78"/>
        <w:rPr>
          <w:rFonts w:ascii="Calibri" w:hAnsi="Calibri"/>
          <w:szCs w:val="22"/>
        </w:rPr>
      </w:pPr>
      <w:r>
        <w:fldChar w:fldCharType="begin"/>
      </w:r>
      <w:r>
        <w:instrText xml:space="preserve"> HYPERLINK \l "_Toc423007768" </w:instrText>
      </w:r>
      <w:r>
        <w:fldChar w:fldCharType="separate"/>
      </w:r>
      <w:r>
        <w:rPr>
          <w:rStyle w:val="36"/>
        </w:rPr>
        <w:t>9</w:t>
      </w:r>
      <w:r>
        <w:rPr>
          <w:rStyle w:val="36"/>
          <w:rFonts w:hint="eastAsia"/>
        </w:rPr>
        <w:t>　安全管理</w:t>
      </w:r>
      <w:r>
        <w:tab/>
      </w:r>
      <w:r>
        <w:rPr>
          <w:rFonts w:hint="eastAsia"/>
        </w:rPr>
        <w:t>11</w:t>
      </w:r>
      <w:r>
        <w:rPr>
          <w:rFonts w:hint="eastAsia"/>
        </w:rPr>
        <w:fldChar w:fldCharType="end"/>
      </w:r>
    </w:p>
    <w:p w14:paraId="686F7523">
      <w:pPr>
        <w:pStyle w:val="23"/>
      </w:pPr>
      <w:r>
        <w:fldChar w:fldCharType="end"/>
      </w:r>
    </w:p>
    <w:p w14:paraId="2FBA7F2D">
      <w:pPr>
        <w:pStyle w:val="109"/>
      </w:pPr>
      <w:bookmarkStart w:id="22" w:name="_Toc423007759"/>
      <w:r>
        <w:rPr>
          <w:rFonts w:hint="eastAsia"/>
        </w:rPr>
        <w:t>前</w:t>
      </w:r>
      <w:bookmarkStart w:id="23" w:name="BKQY"/>
      <w:r>
        <w:rPr>
          <w:rFonts w:hAnsi="黑体"/>
        </w:rPr>
        <w:t>  </w:t>
      </w:r>
      <w:r>
        <w:rPr>
          <w:rFonts w:hint="eastAsia"/>
        </w:rPr>
        <w:t>言</w:t>
      </w:r>
      <w:bookmarkEnd w:id="20"/>
      <w:bookmarkEnd w:id="22"/>
      <w:bookmarkEnd w:id="23"/>
    </w:p>
    <w:p w14:paraId="2E534F1C">
      <w:pPr>
        <w:pStyle w:val="23"/>
        <w:rPr>
          <w:rFonts w:hAnsi="宋体"/>
        </w:rPr>
      </w:pPr>
      <w:r>
        <w:rPr>
          <w:rFonts w:hint="eastAsia"/>
        </w:rPr>
        <w:t>本文件按照GB</w:t>
      </w:r>
      <w:r>
        <w:rPr>
          <w:rFonts w:hAnsi="宋体"/>
        </w:rPr>
        <w:t>/T 1.1-</w:t>
      </w:r>
      <w:r>
        <w:rPr>
          <w:rFonts w:hint="eastAsia" w:hAnsi="宋体"/>
        </w:rPr>
        <w:t>2020《标准化工作导则  第1部分：标准化文件的结构和起草规则》的规定起草。</w:t>
      </w:r>
    </w:p>
    <w:p w14:paraId="3A0DE993">
      <w:pPr>
        <w:pStyle w:val="23"/>
        <w:rPr>
          <w:rFonts w:hAnsi="宋体"/>
        </w:rPr>
      </w:pPr>
      <w:r>
        <w:rPr>
          <w:rFonts w:hint="eastAsia" w:hAnsi="宋体"/>
        </w:rPr>
        <w:t>本文件代替</w:t>
      </w:r>
      <w:r>
        <w:rPr>
          <w:rFonts w:hAnsi="宋体"/>
        </w:rPr>
        <w:t>DB21/T2521-2015</w:t>
      </w:r>
      <w:r>
        <w:rPr>
          <w:rFonts w:hint="eastAsia" w:hAnsi="宋体"/>
        </w:rPr>
        <w:t>《化学合成制药安全生产技术规程》，与</w:t>
      </w:r>
      <w:r>
        <w:rPr>
          <w:rFonts w:hAnsi="宋体"/>
        </w:rPr>
        <w:t>DB21/T2521-2015</w:t>
      </w:r>
      <w:r>
        <w:rPr>
          <w:rFonts w:hint="eastAsia" w:hAnsi="宋体"/>
        </w:rPr>
        <w:t>相比主要变化如下：</w:t>
      </w:r>
    </w:p>
    <w:p w14:paraId="47C6E935">
      <w:pPr>
        <w:pStyle w:val="23"/>
        <w:rPr>
          <w:rFonts w:hAnsi="宋体"/>
          <w:highlight w:val="yellow"/>
        </w:rPr>
      </w:pPr>
      <w:r>
        <w:rPr>
          <w:rFonts w:hint="eastAsia" w:hAnsi="宋体"/>
          <w:highlight w:val="yellow"/>
        </w:rPr>
        <w:t>——更新并增加了部分引用文件；</w:t>
      </w:r>
    </w:p>
    <w:p w14:paraId="5ED39126">
      <w:pPr>
        <w:pStyle w:val="23"/>
        <w:rPr>
          <w:rFonts w:hAnsi="宋体"/>
          <w:highlight w:val="yellow"/>
        </w:rPr>
      </w:pPr>
      <w:r>
        <w:rPr>
          <w:rFonts w:hint="eastAsia" w:hAnsi="宋体"/>
          <w:highlight w:val="yellow"/>
        </w:rPr>
        <w:t>——更新了部分术语和定义；</w:t>
      </w:r>
    </w:p>
    <w:p w14:paraId="2A771B59">
      <w:pPr>
        <w:pStyle w:val="23"/>
        <w:rPr>
          <w:rFonts w:hAnsi="宋体"/>
          <w:highlight w:val="yellow"/>
        </w:rPr>
      </w:pPr>
      <w:r>
        <w:rPr>
          <w:rFonts w:hint="eastAsia" w:hAnsi="宋体"/>
          <w:highlight w:val="yellow"/>
        </w:rPr>
        <w:t>——厂址、总平面布置中对部分旧条款进行了修改，并增加了规划、水位和地质、水源和电源等提出相关要求；</w:t>
      </w:r>
    </w:p>
    <w:p w14:paraId="47DFB0C6">
      <w:pPr>
        <w:pStyle w:val="23"/>
        <w:rPr>
          <w:rFonts w:hAnsi="宋体"/>
          <w:highlight w:val="yellow"/>
        </w:rPr>
      </w:pPr>
      <w:r>
        <w:rPr>
          <w:rFonts w:hint="eastAsia" w:hAnsi="宋体"/>
          <w:highlight w:val="yellow"/>
        </w:rPr>
        <w:t>——厂房和仓库中更新相关部分条款，并增加了采暖通风和仓库储存特殊要求等相关内容；</w:t>
      </w:r>
    </w:p>
    <w:p w14:paraId="247C9A75">
      <w:pPr>
        <w:pStyle w:val="23"/>
        <w:rPr>
          <w:rFonts w:hAnsi="宋体"/>
          <w:highlight w:val="yellow"/>
        </w:rPr>
      </w:pPr>
      <w:r>
        <w:rPr>
          <w:rFonts w:hint="eastAsia" w:hAnsi="宋体"/>
          <w:highlight w:val="yellow"/>
        </w:rPr>
        <w:t>——工艺装置中对章节进行了调整，按照一般规定、工艺系统、生产设备设施进行了重新划分，对部分旧条款进行了修改，并增加了工艺系统和设备的相关安全要求；</w:t>
      </w:r>
    </w:p>
    <w:p w14:paraId="283A6FFE">
      <w:pPr>
        <w:pStyle w:val="23"/>
        <w:rPr>
          <w:rFonts w:hAnsi="宋体"/>
        </w:rPr>
      </w:pPr>
      <w:r>
        <w:rPr>
          <w:rFonts w:hint="eastAsia" w:hAnsi="宋体"/>
          <w:highlight w:val="yellow"/>
        </w:rPr>
        <w:t>——罐区及管线中补充储罐防火堤内储罐布置、管道走向、管道凝液排放、特殊物料连接管道等相关内容</w:t>
      </w:r>
      <w:r>
        <w:rPr>
          <w:rFonts w:hint="eastAsia" w:hAnsi="宋体"/>
        </w:rPr>
        <w:t>：</w:t>
      </w:r>
    </w:p>
    <w:p w14:paraId="54E49C55">
      <w:pPr>
        <w:pStyle w:val="23"/>
        <w:rPr>
          <w:rFonts w:hAnsi="宋体"/>
        </w:rPr>
      </w:pPr>
      <w:r>
        <w:rPr>
          <w:rFonts w:hint="eastAsia" w:hAnsi="宋体"/>
          <w:highlight w:val="yellow"/>
        </w:rPr>
        <w:t>——电气设施中对部分旧条款进行了修改，增加了防雷、仪表、防爆电气检测和检验的要求</w:t>
      </w:r>
      <w:r>
        <w:rPr>
          <w:rFonts w:hint="eastAsia" w:hAnsi="宋体"/>
        </w:rPr>
        <w:t>，</w:t>
      </w:r>
      <w:r>
        <w:rPr>
          <w:rFonts w:hint="eastAsia" w:hAnsi="宋体"/>
          <w:highlight w:val="yellow"/>
        </w:rPr>
        <w:t>并增加了防触电、应急电源的相关要求；</w:t>
      </w:r>
    </w:p>
    <w:p w14:paraId="43C917E1">
      <w:pPr>
        <w:pStyle w:val="23"/>
        <w:rPr>
          <w:rFonts w:hAnsi="宋体"/>
        </w:rPr>
      </w:pPr>
      <w:r>
        <w:rPr>
          <w:rFonts w:hint="eastAsia" w:hAnsi="宋体"/>
          <w:highlight w:val="yellow"/>
        </w:rPr>
        <w:t>——组织机构中增加了注册安全工程师配备和管理制度制定的7要求，以及专职安全管理人员和注册安全工程师按</w:t>
      </w:r>
      <w:r>
        <w:rPr>
          <w:rFonts w:hint="eastAsia" w:hAnsi="宋体"/>
          <w:highlight w:val="yellow"/>
          <w:lang w:eastAsia="zh-CN"/>
        </w:rPr>
        <w:t>比例</w:t>
      </w:r>
      <w:bookmarkStart w:id="180" w:name="_GoBack"/>
      <w:bookmarkEnd w:id="180"/>
      <w:r>
        <w:rPr>
          <w:rFonts w:hint="eastAsia" w:hAnsi="宋体"/>
          <w:highlight w:val="yellow"/>
        </w:rPr>
        <w:t>配备的要求。</w:t>
      </w:r>
    </w:p>
    <w:p w14:paraId="69418B0D">
      <w:pPr>
        <w:pStyle w:val="23"/>
        <w:rPr>
          <w:rFonts w:hAnsi="宋体"/>
        </w:rPr>
      </w:pPr>
      <w:r>
        <w:rPr>
          <w:rFonts w:hint="eastAsia" w:hAnsi="宋体"/>
        </w:rPr>
        <w:t>本文件由辽宁省应急厅提出并归口管理</w:t>
      </w:r>
    </w:p>
    <w:p w14:paraId="18DC2C5C">
      <w:pPr>
        <w:pStyle w:val="23"/>
        <w:rPr>
          <w:rFonts w:hAnsi="宋体"/>
        </w:rPr>
      </w:pPr>
      <w:r>
        <w:rPr>
          <w:rFonts w:hint="eastAsia" w:hAnsi="宋体"/>
        </w:rPr>
        <w:t>本文件起草人：</w:t>
      </w:r>
      <w:r>
        <w:rPr>
          <w:rFonts w:hint="eastAsia" w:hAnsi="宋体"/>
          <w:highlight w:val="yellow"/>
        </w:rPr>
        <w:t>夏术军、宋荣全、冯冰、姚丹丹、郭洋、高成凤。</w:t>
      </w:r>
    </w:p>
    <w:p w14:paraId="1E1A5842">
      <w:pPr>
        <w:pStyle w:val="23"/>
        <w:rPr>
          <w:rFonts w:hAnsi="宋体"/>
        </w:rPr>
      </w:pPr>
      <w:r>
        <w:rPr>
          <w:rFonts w:hint="eastAsia" w:hAnsi="宋体"/>
        </w:rPr>
        <w:t>本文件起草单位：辽宁省检验检测认证中心（辽宁省安全科学研究院）。</w:t>
      </w:r>
    </w:p>
    <w:p w14:paraId="227A6C9F">
      <w:pPr>
        <w:pStyle w:val="23"/>
        <w:rPr>
          <w:rFonts w:hAnsi="宋体"/>
        </w:rPr>
      </w:pPr>
      <w:r>
        <w:rPr>
          <w:rFonts w:hint="eastAsia" w:hAnsi="宋体"/>
        </w:rPr>
        <w:t>本文件于2015年首次发布，本次为第一次修订。</w:t>
      </w:r>
    </w:p>
    <w:p w14:paraId="52C315F0">
      <w:pPr>
        <w:pStyle w:val="23"/>
        <w:rPr>
          <w:rFonts w:hAnsi="宋体"/>
        </w:rPr>
      </w:pPr>
      <w:r>
        <w:rPr>
          <w:rFonts w:hint="eastAsia" w:hAnsi="宋体"/>
        </w:rPr>
        <w:t>本文件发布实施后，任何单位和个人如有问题和意见建议，均可以通过来电和来函等方式进行反馈，我们将及时答复并认真处理，根据实际情况依法进行评估及复审。</w:t>
      </w:r>
    </w:p>
    <w:p w14:paraId="5FCCD0F3">
      <w:pPr>
        <w:pStyle w:val="23"/>
        <w:rPr>
          <w:rFonts w:hAnsi="宋体"/>
        </w:rPr>
      </w:pPr>
      <w:r>
        <w:rPr>
          <w:rFonts w:hint="eastAsia" w:hAnsi="宋体"/>
        </w:rPr>
        <w:t>归口管理部门通讯地址：沈阳市皇姑区北陵大街45-1号，联系方式：</w:t>
      </w:r>
      <w:r>
        <w:rPr>
          <w:rFonts w:hint="eastAsia" w:hAnsi="宋体"/>
          <w:highlight w:val="yellow"/>
        </w:rPr>
        <w:t>024-××××××××</w:t>
      </w:r>
      <w:r>
        <w:rPr>
          <w:rFonts w:hint="eastAsia" w:hAnsi="宋体"/>
        </w:rPr>
        <w:t>。</w:t>
      </w:r>
    </w:p>
    <w:p w14:paraId="03F4FEFF">
      <w:pPr>
        <w:pStyle w:val="23"/>
        <w:rPr>
          <w:rFonts w:hAnsi="宋体"/>
        </w:rPr>
      </w:pPr>
      <w:r>
        <w:rPr>
          <w:rFonts w:hint="eastAsia" w:hAnsi="宋体"/>
        </w:rPr>
        <w:t>文件起草单位通讯地址：沈阳市和平区文萃路4-2号，联系方式：024-23892986。</w:t>
      </w:r>
    </w:p>
    <w:p w14:paraId="79EBF4A0">
      <w:pPr>
        <w:pStyle w:val="23"/>
        <w:rPr>
          <w:rFonts w:hAnsi="宋体"/>
        </w:rPr>
      </w:pPr>
    </w:p>
    <w:p w14:paraId="0621865E">
      <w:pPr>
        <w:pStyle w:val="23"/>
        <w:rPr>
          <w:rFonts w:hAnsi="宋体"/>
        </w:rPr>
      </w:pPr>
    </w:p>
    <w:p w14:paraId="321DF5E5">
      <w:pPr>
        <w:pStyle w:val="23"/>
        <w:rPr>
          <w:rFonts w:hAnsi="宋体"/>
        </w:rPr>
      </w:pPr>
    </w:p>
    <w:p w14:paraId="396B1682">
      <w:pPr>
        <w:pStyle w:val="23"/>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14:paraId="10B5875C">
      <w:pPr>
        <w:pStyle w:val="47"/>
      </w:pPr>
      <w:r>
        <w:rPr>
          <w:rFonts w:hint="eastAsia"/>
        </w:rPr>
        <w:t>化学合成制药安全</w:t>
      </w:r>
      <w:r>
        <w:rPr>
          <w:rFonts w:hint="eastAsia"/>
          <w:szCs w:val="32"/>
        </w:rPr>
        <w:t>生产技术规程</w:t>
      </w:r>
    </w:p>
    <w:p w14:paraId="0A90C4B5">
      <w:pPr>
        <w:pStyle w:val="42"/>
      </w:pPr>
      <w:bookmarkStart w:id="24" w:name="_Toc422828923"/>
      <w:bookmarkStart w:id="25" w:name="_Toc423007760"/>
      <w:bookmarkStart w:id="26" w:name="_Toc423007378"/>
      <w:r>
        <w:rPr>
          <w:rFonts w:hint="eastAsia"/>
        </w:rPr>
        <w:t>范围</w:t>
      </w:r>
      <w:bookmarkEnd w:id="24"/>
      <w:bookmarkEnd w:id="25"/>
      <w:bookmarkEnd w:id="26"/>
    </w:p>
    <w:p w14:paraId="27FB9EF7">
      <w:pPr>
        <w:pStyle w:val="23"/>
      </w:pPr>
      <w:r>
        <w:rPr>
          <w:rFonts w:hint="eastAsia"/>
        </w:rPr>
        <w:t>本文件规定了化学合成制药企业厂址、总平面布置、厂房与仓库、工艺装置、罐区及管线、电气设施、安全管理等方面的安全措施及要求。</w:t>
      </w:r>
    </w:p>
    <w:p w14:paraId="7FF2B0CC">
      <w:pPr>
        <w:pStyle w:val="23"/>
      </w:pPr>
      <w:r>
        <w:rPr>
          <w:rFonts w:hint="eastAsia"/>
        </w:rPr>
        <w:t>本文件适用于新建、改建和扩建的化学合成制药企业的设计。其它类型制药企业，可参照执行。化学合成制药企业工程设计除应遵守本规程外，尚应符合国家现行的有关标准的规定。</w:t>
      </w:r>
    </w:p>
    <w:p w14:paraId="17A4AB15">
      <w:pPr>
        <w:pStyle w:val="42"/>
      </w:pPr>
      <w:bookmarkStart w:id="27" w:name="_Toc422828924"/>
      <w:bookmarkStart w:id="28" w:name="_Toc423007379"/>
      <w:bookmarkStart w:id="29" w:name="_Toc423007761"/>
      <w:r>
        <w:rPr>
          <w:rFonts w:hint="eastAsia"/>
        </w:rPr>
        <w:t>规范性引用文件</w:t>
      </w:r>
      <w:bookmarkEnd w:id="27"/>
      <w:bookmarkEnd w:id="28"/>
      <w:bookmarkEnd w:id="29"/>
    </w:p>
    <w:p w14:paraId="438724CF">
      <w:pPr>
        <w:pStyle w:val="2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37762E3">
      <w:pPr>
        <w:ind w:firstLine="420" w:firstLineChars="200"/>
        <w:rPr>
          <w:rFonts w:ascii="宋体" w:hAnsi="宋体"/>
          <w:kern w:val="0"/>
          <w:szCs w:val="20"/>
        </w:rPr>
      </w:pPr>
      <w:r>
        <w:rPr>
          <w:rFonts w:ascii="宋体" w:hAnsi="宋体"/>
          <w:kern w:val="0"/>
          <w:szCs w:val="20"/>
        </w:rPr>
        <w:t xml:space="preserve">GB 4387 </w:t>
      </w:r>
      <w:r>
        <w:rPr>
          <w:rFonts w:hint="eastAsia" w:ascii="宋体" w:hAnsi="宋体"/>
          <w:kern w:val="0"/>
          <w:szCs w:val="20"/>
        </w:rPr>
        <w:t xml:space="preserve"> </w:t>
      </w:r>
      <w:r>
        <w:rPr>
          <w:rFonts w:ascii="宋体" w:hAnsi="宋体"/>
          <w:kern w:val="0"/>
          <w:szCs w:val="20"/>
        </w:rPr>
        <w:t>工业企业厂内铁路、道路运输安全规程</w:t>
      </w:r>
    </w:p>
    <w:p w14:paraId="77AD7859">
      <w:pPr>
        <w:ind w:firstLine="420" w:firstLineChars="200"/>
        <w:rPr>
          <w:rFonts w:ascii="宋体" w:hAnsi="宋体"/>
          <w:kern w:val="0"/>
          <w:szCs w:val="20"/>
        </w:rPr>
      </w:pPr>
      <w:r>
        <w:rPr>
          <w:rFonts w:ascii="宋体" w:hAnsi="宋体"/>
          <w:kern w:val="0"/>
          <w:szCs w:val="20"/>
        </w:rPr>
        <w:t xml:space="preserve">GB 7231 </w:t>
      </w:r>
      <w:r>
        <w:rPr>
          <w:rFonts w:hint="eastAsia" w:ascii="宋体" w:hAnsi="宋体"/>
          <w:kern w:val="0"/>
          <w:szCs w:val="20"/>
        </w:rPr>
        <w:t xml:space="preserve"> </w:t>
      </w:r>
      <w:r>
        <w:rPr>
          <w:rFonts w:ascii="宋体" w:hAnsi="宋体"/>
          <w:kern w:val="0"/>
          <w:szCs w:val="20"/>
        </w:rPr>
        <w:t>工业管道的基本识别色、识别符号和安全标识</w:t>
      </w:r>
    </w:p>
    <w:p w14:paraId="5C6F3521">
      <w:pPr>
        <w:ind w:firstLine="420" w:firstLineChars="200"/>
        <w:rPr>
          <w:rFonts w:ascii="宋体" w:hAnsi="宋体"/>
          <w:kern w:val="0"/>
          <w:szCs w:val="20"/>
        </w:rPr>
      </w:pPr>
      <w:r>
        <w:rPr>
          <w:rFonts w:ascii="宋体" w:hAnsi="宋体"/>
          <w:kern w:val="0"/>
          <w:szCs w:val="20"/>
        </w:rPr>
        <w:t xml:space="preserve">GB 50016 </w:t>
      </w:r>
      <w:r>
        <w:rPr>
          <w:rFonts w:hint="eastAsia" w:ascii="宋体" w:hAnsi="宋体"/>
          <w:kern w:val="0"/>
          <w:szCs w:val="20"/>
        </w:rPr>
        <w:t xml:space="preserve"> </w:t>
      </w:r>
      <w:r>
        <w:rPr>
          <w:rFonts w:ascii="宋体" w:hAnsi="宋体"/>
          <w:kern w:val="0"/>
          <w:szCs w:val="20"/>
        </w:rPr>
        <w:t>建筑设计防火规范</w:t>
      </w:r>
    </w:p>
    <w:p w14:paraId="414DF670">
      <w:pPr>
        <w:ind w:firstLine="420" w:firstLineChars="200"/>
        <w:rPr>
          <w:rFonts w:ascii="宋体" w:hAnsi="宋体"/>
          <w:kern w:val="0"/>
          <w:szCs w:val="20"/>
        </w:rPr>
      </w:pPr>
      <w:r>
        <w:rPr>
          <w:rFonts w:ascii="宋体" w:hAnsi="宋体"/>
          <w:kern w:val="0"/>
          <w:szCs w:val="20"/>
        </w:rPr>
        <w:t xml:space="preserve">GB 50034 </w:t>
      </w:r>
      <w:r>
        <w:rPr>
          <w:rFonts w:hint="eastAsia" w:ascii="宋体" w:hAnsi="宋体"/>
          <w:kern w:val="0"/>
          <w:szCs w:val="20"/>
        </w:rPr>
        <w:t xml:space="preserve"> </w:t>
      </w:r>
      <w:r>
        <w:rPr>
          <w:rFonts w:ascii="宋体" w:hAnsi="宋体"/>
          <w:kern w:val="0"/>
          <w:szCs w:val="20"/>
        </w:rPr>
        <w:t>建筑照明设计标准</w:t>
      </w:r>
    </w:p>
    <w:p w14:paraId="757AB998">
      <w:pPr>
        <w:ind w:firstLine="420" w:firstLineChars="200"/>
        <w:rPr>
          <w:rFonts w:ascii="宋体" w:hAnsi="宋体"/>
          <w:kern w:val="0"/>
          <w:szCs w:val="20"/>
        </w:rPr>
      </w:pPr>
      <w:r>
        <w:rPr>
          <w:rFonts w:ascii="宋体" w:hAnsi="宋体"/>
          <w:kern w:val="0"/>
          <w:szCs w:val="20"/>
        </w:rPr>
        <w:t xml:space="preserve">GB 50057 </w:t>
      </w:r>
      <w:r>
        <w:rPr>
          <w:rFonts w:hint="eastAsia" w:ascii="宋体" w:hAnsi="宋体"/>
          <w:kern w:val="0"/>
          <w:szCs w:val="20"/>
        </w:rPr>
        <w:t xml:space="preserve"> </w:t>
      </w:r>
      <w:r>
        <w:rPr>
          <w:rFonts w:ascii="宋体" w:hAnsi="宋体"/>
          <w:kern w:val="0"/>
          <w:szCs w:val="20"/>
        </w:rPr>
        <w:t>建筑物防雷设计规范</w:t>
      </w:r>
    </w:p>
    <w:p w14:paraId="230A0BD4">
      <w:pPr>
        <w:ind w:firstLine="420" w:firstLineChars="200"/>
        <w:rPr>
          <w:rFonts w:ascii="宋体" w:hAnsi="宋体"/>
          <w:kern w:val="0"/>
          <w:szCs w:val="20"/>
        </w:rPr>
      </w:pPr>
      <w:r>
        <w:rPr>
          <w:rFonts w:ascii="宋体" w:hAnsi="宋体"/>
          <w:kern w:val="0"/>
          <w:szCs w:val="20"/>
        </w:rPr>
        <w:t xml:space="preserve">GB 50058 </w:t>
      </w:r>
      <w:r>
        <w:rPr>
          <w:rFonts w:hint="eastAsia" w:ascii="宋体" w:hAnsi="宋体"/>
          <w:kern w:val="0"/>
          <w:szCs w:val="20"/>
        </w:rPr>
        <w:t xml:space="preserve"> </w:t>
      </w:r>
      <w:r>
        <w:rPr>
          <w:rFonts w:ascii="宋体" w:hAnsi="宋体"/>
          <w:kern w:val="0"/>
          <w:szCs w:val="20"/>
        </w:rPr>
        <w:t>爆炸危险环境电力装置设计规范</w:t>
      </w:r>
    </w:p>
    <w:p w14:paraId="721B0409">
      <w:pPr>
        <w:ind w:firstLine="420" w:firstLineChars="200"/>
        <w:rPr>
          <w:rFonts w:ascii="宋体" w:hAnsi="宋体"/>
          <w:kern w:val="0"/>
          <w:szCs w:val="20"/>
        </w:rPr>
      </w:pPr>
      <w:r>
        <w:rPr>
          <w:rFonts w:ascii="宋体" w:hAnsi="宋体"/>
          <w:kern w:val="0"/>
          <w:szCs w:val="20"/>
        </w:rPr>
        <w:t xml:space="preserve">GB 50160 </w:t>
      </w:r>
      <w:r>
        <w:rPr>
          <w:rFonts w:hint="eastAsia" w:ascii="宋体" w:hAnsi="宋体"/>
          <w:kern w:val="0"/>
          <w:szCs w:val="20"/>
        </w:rPr>
        <w:t xml:space="preserve"> </w:t>
      </w:r>
      <w:r>
        <w:rPr>
          <w:rFonts w:ascii="宋体" w:hAnsi="宋体"/>
          <w:kern w:val="0"/>
          <w:szCs w:val="20"/>
        </w:rPr>
        <w:t>石油化工企业设计防火</w:t>
      </w:r>
      <w:r>
        <w:rPr>
          <w:rFonts w:hint="eastAsia" w:ascii="宋体" w:hAnsi="宋体"/>
          <w:kern w:val="0"/>
          <w:szCs w:val="20"/>
          <w:highlight w:val="yellow"/>
        </w:rPr>
        <w:t>标准</w:t>
      </w:r>
    </w:p>
    <w:p w14:paraId="580DB8DC">
      <w:pPr>
        <w:ind w:firstLine="420" w:firstLineChars="200"/>
        <w:rPr>
          <w:rFonts w:ascii="宋体" w:hAnsi="宋体"/>
          <w:kern w:val="0"/>
          <w:szCs w:val="20"/>
        </w:rPr>
      </w:pPr>
      <w:r>
        <w:rPr>
          <w:rFonts w:hint="eastAsia" w:ascii="宋体" w:hAnsi="宋体"/>
          <w:kern w:val="0"/>
          <w:szCs w:val="20"/>
        </w:rPr>
        <w:t>GB 50201  防洪标准</w:t>
      </w:r>
    </w:p>
    <w:p w14:paraId="58148E14">
      <w:pPr>
        <w:ind w:firstLine="420" w:firstLineChars="200"/>
        <w:rPr>
          <w:rFonts w:ascii="宋体" w:hAnsi="宋体"/>
          <w:kern w:val="0"/>
          <w:szCs w:val="20"/>
        </w:rPr>
      </w:pPr>
      <w:r>
        <w:rPr>
          <w:rFonts w:ascii="宋体" w:hAnsi="宋体"/>
          <w:kern w:val="0"/>
          <w:szCs w:val="20"/>
        </w:rPr>
        <w:t xml:space="preserve">GB 50351 </w:t>
      </w:r>
      <w:r>
        <w:rPr>
          <w:rFonts w:hint="eastAsia" w:ascii="宋体" w:hAnsi="宋体"/>
          <w:kern w:val="0"/>
          <w:szCs w:val="20"/>
        </w:rPr>
        <w:t xml:space="preserve"> </w:t>
      </w:r>
      <w:r>
        <w:rPr>
          <w:rFonts w:ascii="宋体" w:hAnsi="宋体"/>
        </w:rPr>
        <w:t>储罐区防火堤设计规范</w:t>
      </w:r>
    </w:p>
    <w:p w14:paraId="4C6A151C">
      <w:pPr>
        <w:ind w:firstLine="420" w:firstLineChars="200"/>
        <w:rPr>
          <w:rFonts w:ascii="宋体" w:hAnsi="宋体"/>
          <w:kern w:val="0"/>
          <w:szCs w:val="20"/>
        </w:rPr>
      </w:pPr>
      <w:r>
        <w:rPr>
          <w:rFonts w:hint="eastAsia" w:ascii="宋体" w:hAnsi="宋体"/>
          <w:kern w:val="0"/>
          <w:szCs w:val="20"/>
          <w:highlight w:val="yellow"/>
        </w:rPr>
        <w:t>GB 50457  医药工业洁净厂房设计标准</w:t>
      </w:r>
    </w:p>
    <w:p w14:paraId="2F219807">
      <w:pPr>
        <w:ind w:firstLine="420" w:firstLineChars="200"/>
        <w:rPr>
          <w:rFonts w:ascii="宋体" w:hAnsi="宋体"/>
          <w:kern w:val="0"/>
          <w:szCs w:val="20"/>
        </w:rPr>
      </w:pPr>
      <w:r>
        <w:rPr>
          <w:rFonts w:ascii="宋体" w:hAnsi="宋体"/>
          <w:kern w:val="0"/>
          <w:szCs w:val="20"/>
        </w:rPr>
        <w:t>GB</w:t>
      </w:r>
      <w:r>
        <w:rPr>
          <w:rFonts w:hint="eastAsia" w:ascii="宋体" w:hAnsi="宋体"/>
          <w:kern w:val="0"/>
          <w:szCs w:val="20"/>
        </w:rPr>
        <w:t xml:space="preserve"> </w:t>
      </w:r>
      <w:r>
        <w:rPr>
          <w:rFonts w:ascii="宋体" w:hAnsi="宋体"/>
          <w:kern w:val="0"/>
          <w:szCs w:val="20"/>
        </w:rPr>
        <w:t>50489</w:t>
      </w:r>
      <w:r>
        <w:rPr>
          <w:rFonts w:hint="eastAsia" w:ascii="宋体" w:hAnsi="宋体"/>
          <w:kern w:val="0"/>
          <w:szCs w:val="20"/>
        </w:rPr>
        <w:t xml:space="preserve">  化工企业总图运输设计规范</w:t>
      </w:r>
    </w:p>
    <w:p w14:paraId="7EA45B0A">
      <w:pPr>
        <w:ind w:firstLine="420" w:firstLineChars="200"/>
        <w:rPr>
          <w:rFonts w:ascii="宋体" w:hAnsi="宋体"/>
          <w:kern w:val="0"/>
          <w:szCs w:val="20"/>
        </w:rPr>
      </w:pPr>
      <w:r>
        <w:rPr>
          <w:rFonts w:hint="eastAsia" w:ascii="宋体" w:hAnsi="宋体"/>
          <w:kern w:val="0"/>
          <w:szCs w:val="20"/>
          <w:highlight w:val="yellow"/>
        </w:rPr>
        <w:t>GB</w:t>
      </w:r>
      <w:r>
        <w:rPr>
          <w:rFonts w:ascii="宋体" w:hAnsi="宋体"/>
          <w:kern w:val="0"/>
          <w:szCs w:val="20"/>
          <w:highlight w:val="yellow"/>
        </w:rPr>
        <w:t xml:space="preserve"> </w:t>
      </w:r>
      <w:r>
        <w:rPr>
          <w:rFonts w:hint="eastAsia" w:ascii="宋体" w:hAnsi="宋体"/>
          <w:kern w:val="0"/>
          <w:szCs w:val="20"/>
          <w:highlight w:val="yellow"/>
        </w:rPr>
        <w:t xml:space="preserve">50019  </w:t>
      </w:r>
      <w:bookmarkStart w:id="30" w:name="1"/>
      <w:bookmarkEnd w:id="30"/>
      <w:r>
        <w:rPr>
          <w:rFonts w:hint="eastAsia" w:ascii="宋体" w:hAnsi="宋体"/>
          <w:kern w:val="0"/>
          <w:szCs w:val="20"/>
          <w:highlight w:val="yellow"/>
        </w:rPr>
        <w:t>工业建筑供暖通风与空气调节设计规范</w:t>
      </w:r>
    </w:p>
    <w:p w14:paraId="1C7B29FD">
      <w:pPr>
        <w:ind w:firstLine="420" w:firstLineChars="200"/>
        <w:rPr>
          <w:rFonts w:ascii="宋体" w:hAnsi="宋体"/>
          <w:kern w:val="0"/>
          <w:szCs w:val="20"/>
        </w:rPr>
      </w:pPr>
      <w:r>
        <w:rPr>
          <w:rFonts w:ascii="宋体" w:hAnsi="宋体"/>
          <w:kern w:val="0"/>
          <w:szCs w:val="20"/>
          <w:highlight w:val="yellow"/>
        </w:rPr>
        <w:t>GB 5</w:t>
      </w:r>
      <w:r>
        <w:rPr>
          <w:rFonts w:hint="eastAsia" w:ascii="宋体" w:hAnsi="宋体"/>
          <w:kern w:val="0"/>
          <w:szCs w:val="20"/>
          <w:highlight w:val="yellow"/>
        </w:rPr>
        <w:t>1283</w:t>
      </w:r>
      <w:r>
        <w:rPr>
          <w:rFonts w:ascii="宋体" w:hAnsi="宋体"/>
          <w:kern w:val="0"/>
          <w:szCs w:val="20"/>
          <w:highlight w:val="yellow"/>
        </w:rPr>
        <w:t xml:space="preserve"> </w:t>
      </w:r>
      <w:r>
        <w:rPr>
          <w:rFonts w:hint="eastAsia" w:ascii="宋体" w:hAnsi="宋体"/>
          <w:kern w:val="0"/>
          <w:szCs w:val="20"/>
          <w:highlight w:val="yellow"/>
        </w:rPr>
        <w:t xml:space="preserve"> 精细化工企业工程设计防火标准</w:t>
      </w:r>
    </w:p>
    <w:p w14:paraId="612C71C5">
      <w:pPr>
        <w:ind w:firstLine="420" w:firstLineChars="200"/>
        <w:rPr>
          <w:rFonts w:ascii="宋体" w:hAnsi="宋体"/>
          <w:kern w:val="0"/>
          <w:szCs w:val="20"/>
        </w:rPr>
      </w:pPr>
      <w:r>
        <w:rPr>
          <w:rFonts w:ascii="宋体" w:hAnsi="宋体"/>
          <w:kern w:val="0"/>
          <w:szCs w:val="20"/>
          <w:highlight w:val="yellow"/>
        </w:rPr>
        <w:t xml:space="preserve">GB/T 50493 </w:t>
      </w:r>
      <w:r>
        <w:rPr>
          <w:rFonts w:hint="eastAsia" w:ascii="宋体" w:hAnsi="宋体"/>
          <w:kern w:val="0"/>
          <w:szCs w:val="20"/>
          <w:highlight w:val="yellow"/>
        </w:rPr>
        <w:t xml:space="preserve"> </w:t>
      </w:r>
      <w:r>
        <w:rPr>
          <w:rFonts w:ascii="宋体" w:hAnsi="宋体"/>
          <w:kern w:val="0"/>
          <w:szCs w:val="20"/>
          <w:highlight w:val="yellow"/>
        </w:rPr>
        <w:t>石油化工可燃气体和有毒气体检测报警设计</w:t>
      </w:r>
      <w:r>
        <w:rPr>
          <w:rFonts w:hint="eastAsia" w:ascii="宋体" w:hAnsi="宋体"/>
          <w:kern w:val="0"/>
          <w:szCs w:val="20"/>
          <w:highlight w:val="yellow"/>
        </w:rPr>
        <w:t>标准</w:t>
      </w:r>
    </w:p>
    <w:p w14:paraId="1DC4FF97">
      <w:pPr>
        <w:ind w:firstLine="420" w:firstLineChars="200"/>
        <w:rPr>
          <w:rFonts w:ascii="宋体" w:hAnsi="宋体"/>
          <w:kern w:val="0"/>
          <w:szCs w:val="20"/>
        </w:rPr>
      </w:pPr>
      <w:r>
        <w:rPr>
          <w:rFonts w:ascii="宋体" w:hAnsi="宋体"/>
          <w:kern w:val="0"/>
          <w:szCs w:val="20"/>
        </w:rPr>
        <w:t>GB/T 29639</w:t>
      </w:r>
      <w:r>
        <w:rPr>
          <w:rFonts w:hint="eastAsia" w:ascii="宋体" w:hAnsi="宋体"/>
          <w:kern w:val="0"/>
          <w:szCs w:val="20"/>
        </w:rPr>
        <w:t xml:space="preserve">  </w:t>
      </w:r>
      <w:r>
        <w:rPr>
          <w:rFonts w:ascii="宋体" w:hAnsi="宋体"/>
          <w:kern w:val="0"/>
          <w:szCs w:val="20"/>
        </w:rPr>
        <w:t>生产经营单位生产安全事故应急救援预案编制导则</w:t>
      </w:r>
    </w:p>
    <w:p w14:paraId="5363360A">
      <w:pPr>
        <w:pStyle w:val="42"/>
      </w:pPr>
      <w:bookmarkStart w:id="31" w:name="_Toc422828925"/>
      <w:bookmarkEnd w:id="31"/>
      <w:bookmarkStart w:id="32" w:name="_Toc375573657"/>
      <w:bookmarkStart w:id="33" w:name="_Toc423007762"/>
      <w:bookmarkStart w:id="34" w:name="_Toc423007380"/>
      <w:r>
        <w:t>术语和定义</w:t>
      </w:r>
      <w:bookmarkEnd w:id="32"/>
      <w:bookmarkEnd w:id="33"/>
      <w:bookmarkEnd w:id="34"/>
    </w:p>
    <w:p w14:paraId="30C74C33">
      <w:pPr>
        <w:ind w:firstLine="420" w:firstLineChars="200"/>
        <w:rPr>
          <w:lang w:val="zh-CN"/>
        </w:rPr>
      </w:pPr>
      <w:r>
        <w:rPr>
          <w:rFonts w:hint="eastAsia"/>
          <w:lang w:val="zh-CN"/>
        </w:rPr>
        <w:t>下列术语和定义适用于本文件。</w:t>
      </w:r>
    </w:p>
    <w:p w14:paraId="2D3E17DC">
      <w:pPr>
        <w:pStyle w:val="39"/>
        <w:ind w:left="0"/>
      </w:pPr>
      <w:bookmarkStart w:id="35" w:name="_Toc375573658"/>
      <w:r>
        <w:t>化学合成制药  chemical synthesis of pharmacy</w:t>
      </w:r>
      <w:bookmarkEnd w:id="35"/>
    </w:p>
    <w:p w14:paraId="3E206052">
      <w:pPr>
        <w:ind w:firstLine="420" w:firstLineChars="200"/>
      </w:pPr>
      <w:r>
        <w:rPr>
          <w:rFonts w:hint="eastAsia" w:hAnsi="宋体"/>
        </w:rPr>
        <w:t>采用一个化学反应或一系列化学反应生产药物活性成分的过程</w:t>
      </w:r>
      <w:r>
        <w:rPr>
          <w:rFonts w:hAnsi="宋体"/>
        </w:rPr>
        <w:t>。</w:t>
      </w:r>
    </w:p>
    <w:p w14:paraId="5FCE217E">
      <w:pPr>
        <w:pStyle w:val="39"/>
        <w:ind w:left="0"/>
      </w:pPr>
      <w:bookmarkStart w:id="36" w:name="_Toc375573659"/>
      <w:r>
        <w:t>耐火极限  Fire resistance rating</w:t>
      </w:r>
      <w:bookmarkEnd w:id="36"/>
    </w:p>
    <w:p w14:paraId="285AD622">
      <w:pPr>
        <w:ind w:firstLine="420" w:firstLineChars="200"/>
        <w:rPr>
          <w:rFonts w:hAnsi="宋体"/>
        </w:rPr>
      </w:pPr>
      <w:r>
        <w:rPr>
          <w:rFonts w:hAnsi="宋体"/>
        </w:rPr>
        <w:t>在标准耐火试验条件下，建筑构件、配件或结构从受到火的作用时起，到失去</w:t>
      </w:r>
      <w:r>
        <w:rPr>
          <w:rFonts w:hint="eastAsia" w:hAnsi="宋体"/>
          <w:highlight w:val="yellow"/>
        </w:rPr>
        <w:t>承载能力</w:t>
      </w:r>
      <w:r>
        <w:rPr>
          <w:rFonts w:hAnsi="宋体"/>
          <w:highlight w:val="yellow"/>
        </w:rPr>
        <w:t>、</w:t>
      </w:r>
      <w:r>
        <w:rPr>
          <w:rFonts w:hAnsi="宋体"/>
        </w:rPr>
        <w:t>完整性或隔热性时止</w:t>
      </w:r>
      <w:r>
        <w:rPr>
          <w:rFonts w:hAnsi="宋体"/>
          <w:highlight w:val="yellow"/>
        </w:rPr>
        <w:t>的</w:t>
      </w:r>
      <w:r>
        <w:rPr>
          <w:rFonts w:hint="eastAsia" w:hAnsi="宋体"/>
          <w:highlight w:val="yellow"/>
        </w:rPr>
        <w:t>所用</w:t>
      </w:r>
      <w:r>
        <w:rPr>
          <w:rFonts w:hAnsi="宋体"/>
          <w:highlight w:val="yellow"/>
        </w:rPr>
        <w:t>时间</w:t>
      </w:r>
      <w:r>
        <w:rPr>
          <w:rFonts w:hAnsi="宋体"/>
        </w:rPr>
        <w:t>，用小时表示。</w:t>
      </w:r>
    </w:p>
    <w:p w14:paraId="5AF09013">
      <w:pPr>
        <w:pStyle w:val="39"/>
        <w:ind w:left="0"/>
      </w:pPr>
      <w:bookmarkStart w:id="37" w:name="_Toc375573660"/>
      <w:r>
        <w:t xml:space="preserve">罐组 </w:t>
      </w:r>
      <w:r>
        <w:rPr>
          <w:rFonts w:hint="eastAsia"/>
        </w:rPr>
        <w:t xml:space="preserve">a </w:t>
      </w:r>
      <w:r>
        <w:t xml:space="preserve">group </w:t>
      </w:r>
      <w:r>
        <w:rPr>
          <w:rFonts w:hint="eastAsia"/>
        </w:rPr>
        <w:t xml:space="preserve">of storage </w:t>
      </w:r>
      <w:r>
        <w:t>tank</w:t>
      </w:r>
      <w:bookmarkEnd w:id="37"/>
      <w:r>
        <w:rPr>
          <w:rFonts w:hint="eastAsia"/>
        </w:rPr>
        <w:t>s</w:t>
      </w:r>
    </w:p>
    <w:p w14:paraId="3F9842E5">
      <w:pPr>
        <w:ind w:firstLine="420" w:firstLineChars="200"/>
        <w:rPr>
          <w:szCs w:val="20"/>
        </w:rPr>
      </w:pPr>
      <w:r>
        <w:rPr>
          <w:rFonts w:hAnsi="宋体"/>
          <w:kern w:val="0"/>
          <w:szCs w:val="20"/>
        </w:rPr>
        <w:t>布置在一个防火堤内的一个或多个储罐。</w:t>
      </w:r>
    </w:p>
    <w:p w14:paraId="6C85884C">
      <w:pPr>
        <w:pStyle w:val="39"/>
        <w:ind w:left="0"/>
      </w:pPr>
      <w:bookmarkStart w:id="38" w:name="_Toc375573661"/>
      <w:r>
        <w:t>防火间距  Fire separation distance</w:t>
      </w:r>
      <w:bookmarkEnd w:id="38"/>
    </w:p>
    <w:p w14:paraId="44914468">
      <w:pPr>
        <w:ind w:firstLine="420" w:firstLineChars="200"/>
        <w:rPr>
          <w:szCs w:val="20"/>
        </w:rPr>
      </w:pPr>
      <w:r>
        <w:rPr>
          <w:rFonts w:hAnsi="宋体"/>
          <w:kern w:val="0"/>
          <w:szCs w:val="20"/>
        </w:rPr>
        <w:t>防止着</w:t>
      </w:r>
      <w:r>
        <w:rPr>
          <w:rFonts w:hAnsi="宋体"/>
          <w:kern w:val="0"/>
          <w:szCs w:val="20"/>
          <w:highlight w:val="yellow"/>
        </w:rPr>
        <w:t>火建筑的在一</w:t>
      </w:r>
      <w:r>
        <w:rPr>
          <w:rFonts w:hAnsi="宋体"/>
          <w:kern w:val="0"/>
          <w:szCs w:val="20"/>
        </w:rPr>
        <w:t>定时间内引燃相邻建筑，且便于消防扑救的间隔距离。</w:t>
      </w:r>
    </w:p>
    <w:p w14:paraId="6D299F8B">
      <w:pPr>
        <w:pStyle w:val="39"/>
        <w:ind w:left="0"/>
      </w:pPr>
      <w:bookmarkStart w:id="39" w:name="_Toc375573662"/>
      <w:r>
        <w:t>防火分区 Fire compartment</w:t>
      </w:r>
      <w:bookmarkEnd w:id="39"/>
    </w:p>
    <w:p w14:paraId="6B9EC8D8">
      <w:pPr>
        <w:ind w:firstLine="420" w:firstLineChars="200"/>
        <w:rPr>
          <w:rFonts w:hAnsi="宋体"/>
          <w:kern w:val="0"/>
          <w:szCs w:val="20"/>
        </w:rPr>
      </w:pPr>
      <w:r>
        <w:rPr>
          <w:rFonts w:hAnsi="宋体"/>
          <w:kern w:val="0"/>
          <w:szCs w:val="20"/>
        </w:rPr>
        <w:t>在建筑内部采用</w:t>
      </w:r>
      <w:r>
        <w:rPr>
          <w:rFonts w:hAnsi="宋体"/>
          <w:kern w:val="0"/>
          <w:szCs w:val="20"/>
          <w:highlight w:val="yellow"/>
        </w:rPr>
        <w:t>防火墙、楼板及</w:t>
      </w:r>
      <w:r>
        <w:rPr>
          <w:rFonts w:hAnsi="宋体"/>
          <w:kern w:val="0"/>
          <w:szCs w:val="20"/>
        </w:rPr>
        <w:t>其</w:t>
      </w:r>
      <w:r>
        <w:rPr>
          <w:rFonts w:hint="eastAsia" w:hAnsi="宋体"/>
          <w:kern w:val="0"/>
          <w:szCs w:val="20"/>
        </w:rPr>
        <w:t>他</w:t>
      </w:r>
      <w:r>
        <w:rPr>
          <w:rFonts w:hAnsi="宋体"/>
          <w:kern w:val="0"/>
          <w:szCs w:val="20"/>
        </w:rPr>
        <w:t>防火分隔设施分隔而成，能在一定时间内防止火灾向同一建筑的其余部分蔓延的局部空间。</w:t>
      </w:r>
    </w:p>
    <w:p w14:paraId="2F111C1B">
      <w:pPr>
        <w:pStyle w:val="39"/>
        <w:ind w:left="0"/>
      </w:pPr>
      <w:bookmarkStart w:id="40" w:name="_Toc375573663"/>
      <w:r>
        <w:t>明火地点</w:t>
      </w:r>
      <w:r>
        <w:rPr>
          <w:highlight w:val="yellow"/>
        </w:rPr>
        <w:t xml:space="preserve">Open flame </w:t>
      </w:r>
      <w:r>
        <w:rPr>
          <w:rFonts w:hint="eastAsia"/>
          <w:highlight w:val="yellow"/>
        </w:rPr>
        <w:t>location</w:t>
      </w:r>
      <w:r>
        <w:rPr>
          <w:rFonts w:hint="eastAsia"/>
        </w:rPr>
        <w:t xml:space="preserve"> </w:t>
      </w:r>
      <w:bookmarkEnd w:id="40"/>
    </w:p>
    <w:p w14:paraId="31F1CA79">
      <w:pPr>
        <w:ind w:firstLine="420" w:firstLineChars="200"/>
        <w:rPr>
          <w:rFonts w:hAnsi="宋体"/>
          <w:kern w:val="0"/>
          <w:szCs w:val="20"/>
        </w:rPr>
      </w:pPr>
      <w:r>
        <w:rPr>
          <w:rFonts w:hint="eastAsia" w:hAnsi="宋体"/>
          <w:kern w:val="0"/>
          <w:szCs w:val="20"/>
        </w:rPr>
        <w:t>室内外有外露火焰或赤热表面的固定地点</w:t>
      </w:r>
      <w:r>
        <w:rPr>
          <w:rFonts w:hint="eastAsia" w:hAnsi="宋体"/>
          <w:kern w:val="0"/>
          <w:szCs w:val="20"/>
          <w:highlight w:val="yellow"/>
        </w:rPr>
        <w:t>（民用建筑内的灶具、电磁炉等除外）</w:t>
      </w:r>
      <w:r>
        <w:rPr>
          <w:rFonts w:hint="eastAsia" w:hAnsi="宋体"/>
          <w:kern w:val="0"/>
          <w:szCs w:val="20"/>
        </w:rPr>
        <w:t>。</w:t>
      </w:r>
    </w:p>
    <w:p w14:paraId="4E747BD9">
      <w:pPr>
        <w:pStyle w:val="39"/>
        <w:ind w:left="0"/>
      </w:pPr>
      <w:r>
        <w:t>散发火花的地点Sparking site</w:t>
      </w:r>
    </w:p>
    <w:p w14:paraId="0DBDB6CE">
      <w:pPr>
        <w:ind w:firstLine="420" w:firstLineChars="200"/>
        <w:rPr>
          <w:rFonts w:hAnsi="宋体"/>
          <w:kern w:val="0"/>
          <w:szCs w:val="20"/>
        </w:rPr>
      </w:pPr>
      <w:r>
        <w:rPr>
          <w:rFonts w:hint="eastAsia" w:hAnsi="宋体"/>
          <w:kern w:val="0"/>
          <w:szCs w:val="20"/>
        </w:rPr>
        <w:t>有飞火的烟囱或</w:t>
      </w:r>
      <w:r>
        <w:rPr>
          <w:rFonts w:hint="eastAsia" w:hAnsi="宋体"/>
          <w:kern w:val="0"/>
          <w:szCs w:val="20"/>
          <w:highlight w:val="yellow"/>
        </w:rPr>
        <w:t>进行</w:t>
      </w:r>
      <w:r>
        <w:rPr>
          <w:rFonts w:hint="eastAsia" w:hAnsi="宋体"/>
          <w:kern w:val="0"/>
          <w:szCs w:val="20"/>
        </w:rPr>
        <w:t>室外的砂轮、电焊、气焊（割）等</w:t>
      </w:r>
      <w:r>
        <w:rPr>
          <w:rFonts w:hint="eastAsia" w:hAnsi="宋体"/>
          <w:kern w:val="0"/>
          <w:szCs w:val="20"/>
          <w:highlight w:val="yellow"/>
        </w:rPr>
        <w:t>作业的</w:t>
      </w:r>
      <w:r>
        <w:rPr>
          <w:rFonts w:hint="eastAsia" w:hAnsi="宋体"/>
          <w:kern w:val="0"/>
          <w:szCs w:val="20"/>
        </w:rPr>
        <w:t>固定地点。</w:t>
      </w:r>
    </w:p>
    <w:p w14:paraId="005DC311">
      <w:pPr>
        <w:pStyle w:val="39"/>
        <w:ind w:left="0"/>
      </w:pPr>
      <w:r>
        <w:rPr>
          <w:rFonts w:hint="eastAsia"/>
        </w:rPr>
        <w:t>重点监管的危险化学品</w:t>
      </w:r>
      <w:r>
        <w:t>Focus on supervision of dangerous chemicals</w:t>
      </w:r>
    </w:p>
    <w:p w14:paraId="54698604">
      <w:pPr>
        <w:ind w:firstLine="420" w:firstLineChars="200"/>
        <w:rPr>
          <w:lang w:val="zh-CN"/>
        </w:rPr>
      </w:pPr>
      <w:r>
        <w:rPr>
          <w:rFonts w:hint="eastAsia"/>
          <w:lang w:val="zh-CN"/>
        </w:rPr>
        <w:t>是指列入《重点监管的危险化学品名录》的危险化学品以及在温度</w:t>
      </w:r>
      <w:r>
        <w:rPr>
          <w:lang w:val="zh-CN"/>
        </w:rPr>
        <w:t>20</w:t>
      </w:r>
      <w:r>
        <w:rPr>
          <w:rFonts w:hint="eastAsia"/>
          <w:lang w:val="zh-CN"/>
        </w:rPr>
        <w:t xml:space="preserve"> ℃和标准大气压</w:t>
      </w:r>
      <w:r>
        <w:rPr>
          <w:lang w:val="zh-CN"/>
        </w:rPr>
        <w:t>101.3</w:t>
      </w:r>
      <w:r>
        <w:rPr>
          <w:rFonts w:hint="eastAsia"/>
          <w:lang w:val="zh-CN"/>
        </w:rPr>
        <w:t xml:space="preserve"> </w:t>
      </w:r>
      <w:r>
        <w:rPr>
          <w:lang w:val="zh-CN"/>
        </w:rPr>
        <w:t>kPa</w:t>
      </w:r>
      <w:r>
        <w:rPr>
          <w:rFonts w:hint="eastAsia"/>
          <w:lang w:val="zh-CN"/>
        </w:rPr>
        <w:t>条件下属于以下类别的危险化学品：</w:t>
      </w:r>
    </w:p>
    <w:p w14:paraId="6DFE87DF">
      <w:pPr>
        <w:ind w:firstLine="420" w:firstLineChars="200"/>
        <w:rPr>
          <w:lang w:val="zh-CN"/>
        </w:rPr>
      </w:pPr>
      <w:r>
        <w:rPr>
          <w:bCs/>
          <w:kern w:val="0"/>
          <w:szCs w:val="21"/>
        </w:rPr>
        <w:t>——</w:t>
      </w:r>
      <w:r>
        <w:rPr>
          <w:rFonts w:hint="eastAsia"/>
          <w:lang w:val="zh-CN"/>
        </w:rPr>
        <w:t>易燃气体类别</w:t>
      </w:r>
      <w:r>
        <w:rPr>
          <w:lang w:val="zh-CN"/>
        </w:rPr>
        <w:t>1</w:t>
      </w:r>
      <w:r>
        <w:rPr>
          <w:rFonts w:hint="eastAsia"/>
          <w:lang w:val="zh-CN"/>
        </w:rPr>
        <w:t>（爆炸下限≤</w:t>
      </w:r>
      <w:r>
        <w:rPr>
          <w:lang w:val="zh-CN"/>
        </w:rPr>
        <w:t>13</w:t>
      </w:r>
      <w:r>
        <w:rPr>
          <w:rFonts w:hint="eastAsia"/>
          <w:lang w:val="zh-CN"/>
        </w:rPr>
        <w:t xml:space="preserve"> </w:t>
      </w:r>
      <w:r>
        <w:rPr>
          <w:lang w:val="zh-CN"/>
        </w:rPr>
        <w:t>%</w:t>
      </w:r>
      <w:r>
        <w:rPr>
          <w:rFonts w:hint="eastAsia"/>
          <w:lang w:val="zh-CN"/>
        </w:rPr>
        <w:t>或爆炸极限范围≥</w:t>
      </w:r>
      <w:r>
        <w:rPr>
          <w:lang w:val="zh-CN"/>
        </w:rPr>
        <w:t>12</w:t>
      </w:r>
      <w:r>
        <w:rPr>
          <w:rFonts w:hint="eastAsia"/>
          <w:lang w:val="zh-CN"/>
        </w:rPr>
        <w:t xml:space="preserve"> </w:t>
      </w:r>
      <w:r>
        <w:rPr>
          <w:lang w:val="zh-CN"/>
        </w:rPr>
        <w:t>%</w:t>
      </w:r>
      <w:r>
        <w:rPr>
          <w:rFonts w:hint="eastAsia"/>
          <w:lang w:val="zh-CN"/>
        </w:rPr>
        <w:t>的气体）；</w:t>
      </w:r>
    </w:p>
    <w:p w14:paraId="19B52FA1">
      <w:pPr>
        <w:ind w:firstLine="420" w:firstLineChars="200"/>
        <w:rPr>
          <w:lang w:val="zh-CN"/>
        </w:rPr>
      </w:pPr>
      <w:r>
        <w:rPr>
          <w:bCs/>
          <w:kern w:val="0"/>
          <w:szCs w:val="21"/>
        </w:rPr>
        <w:t>——</w:t>
      </w:r>
      <w:r>
        <w:rPr>
          <w:rFonts w:hint="eastAsia"/>
          <w:lang w:val="zh-CN"/>
        </w:rPr>
        <w:t>易燃液体类别</w:t>
      </w:r>
      <w:r>
        <w:rPr>
          <w:lang w:val="zh-CN"/>
        </w:rPr>
        <w:t>1</w:t>
      </w:r>
      <w:r>
        <w:rPr>
          <w:rFonts w:hint="eastAsia"/>
          <w:lang w:val="zh-CN"/>
        </w:rPr>
        <w:t>（闭杯闪点</w:t>
      </w:r>
      <w:r>
        <w:rPr>
          <w:lang w:val="zh-CN"/>
        </w:rPr>
        <w:t>&lt;23</w:t>
      </w:r>
      <w:r>
        <w:rPr>
          <w:rFonts w:hint="eastAsia"/>
          <w:lang w:val="zh-CN"/>
        </w:rPr>
        <w:t xml:space="preserve"> ℃并初沸点≤</w:t>
      </w:r>
      <w:r>
        <w:rPr>
          <w:lang w:val="zh-CN"/>
        </w:rPr>
        <w:t>35</w:t>
      </w:r>
      <w:r>
        <w:rPr>
          <w:rFonts w:hint="eastAsia"/>
          <w:lang w:val="zh-CN"/>
        </w:rPr>
        <w:t xml:space="preserve"> ℃的液体）；</w:t>
      </w:r>
    </w:p>
    <w:p w14:paraId="6DF58E26">
      <w:pPr>
        <w:ind w:firstLine="420" w:firstLineChars="200"/>
        <w:rPr>
          <w:lang w:val="zh-CN"/>
        </w:rPr>
      </w:pPr>
      <w:r>
        <w:rPr>
          <w:bCs/>
          <w:kern w:val="0"/>
          <w:szCs w:val="21"/>
        </w:rPr>
        <w:t>——</w:t>
      </w:r>
      <w:r>
        <w:rPr>
          <w:rFonts w:hint="eastAsia"/>
          <w:lang w:val="zh-CN"/>
        </w:rPr>
        <w:t>自燃液体类别</w:t>
      </w:r>
      <w:r>
        <w:rPr>
          <w:lang w:val="zh-CN"/>
        </w:rPr>
        <w:t>1</w:t>
      </w:r>
      <w:r>
        <w:rPr>
          <w:rFonts w:hint="eastAsia"/>
          <w:lang w:val="zh-CN"/>
        </w:rPr>
        <w:t>（与空气接触不到</w:t>
      </w:r>
      <w:r>
        <w:rPr>
          <w:lang w:val="zh-CN"/>
        </w:rPr>
        <w:t>5</w:t>
      </w:r>
      <w:r>
        <w:rPr>
          <w:rFonts w:hint="eastAsia"/>
          <w:lang w:val="zh-CN"/>
        </w:rPr>
        <w:t xml:space="preserve"> min便燃烧的液体）；</w:t>
      </w:r>
    </w:p>
    <w:p w14:paraId="20609003">
      <w:pPr>
        <w:ind w:firstLine="420" w:firstLineChars="200"/>
        <w:rPr>
          <w:lang w:val="zh-CN"/>
        </w:rPr>
      </w:pPr>
      <w:r>
        <w:rPr>
          <w:bCs/>
          <w:kern w:val="0"/>
          <w:szCs w:val="21"/>
        </w:rPr>
        <w:t>——</w:t>
      </w:r>
      <w:r>
        <w:rPr>
          <w:rFonts w:hint="eastAsia"/>
          <w:lang w:val="zh-CN"/>
        </w:rPr>
        <w:t>自燃固体类别</w:t>
      </w:r>
      <w:r>
        <w:rPr>
          <w:lang w:val="zh-CN"/>
        </w:rPr>
        <w:t>1</w:t>
      </w:r>
      <w:r>
        <w:rPr>
          <w:rFonts w:hint="eastAsia"/>
          <w:lang w:val="zh-CN"/>
        </w:rPr>
        <w:t>（与空气接触不到</w:t>
      </w:r>
      <w:r>
        <w:rPr>
          <w:lang w:val="zh-CN"/>
        </w:rPr>
        <w:t>5</w:t>
      </w:r>
      <w:r>
        <w:rPr>
          <w:rFonts w:hint="eastAsia"/>
          <w:lang w:val="zh-CN"/>
        </w:rPr>
        <w:t xml:space="preserve"> min便燃烧的固体）；</w:t>
      </w:r>
    </w:p>
    <w:p w14:paraId="3AED8AE5">
      <w:pPr>
        <w:ind w:firstLine="420" w:firstLineChars="200"/>
        <w:rPr>
          <w:lang w:val="zh-CN"/>
        </w:rPr>
      </w:pPr>
      <w:r>
        <w:rPr>
          <w:bCs/>
          <w:kern w:val="0"/>
          <w:szCs w:val="21"/>
        </w:rPr>
        <w:t>——</w:t>
      </w:r>
      <w:r>
        <w:rPr>
          <w:rFonts w:hint="eastAsia"/>
          <w:lang w:val="zh-CN"/>
        </w:rPr>
        <w:t>遇水放出易燃气体的物质类别</w:t>
      </w:r>
      <w:r>
        <w:rPr>
          <w:lang w:val="zh-CN"/>
        </w:rPr>
        <w:t>1</w:t>
      </w:r>
      <w:r>
        <w:rPr>
          <w:rFonts w:hint="eastAsia"/>
          <w:lang w:val="zh-CN"/>
        </w:rPr>
        <w:t>（在环境温度下与水剧烈反应所产生的气体通常显示自燃的倾向，或释放易燃气体的速度等于或大于每公斤物质在任何</w:t>
      </w:r>
      <w:r>
        <w:rPr>
          <w:lang w:val="zh-CN"/>
        </w:rPr>
        <w:t>1</w:t>
      </w:r>
      <w:r>
        <w:rPr>
          <w:rFonts w:hint="eastAsia"/>
          <w:lang w:val="zh-CN"/>
        </w:rPr>
        <w:t>min内释放</w:t>
      </w:r>
      <w:r>
        <w:rPr>
          <w:lang w:val="zh-CN"/>
        </w:rPr>
        <w:t>10</w:t>
      </w:r>
      <w:r>
        <w:rPr>
          <w:rFonts w:hint="eastAsia"/>
          <w:lang w:val="zh-CN"/>
        </w:rPr>
        <w:t xml:space="preserve"> L的任何物质或混合物）；</w:t>
      </w:r>
    </w:p>
    <w:p w14:paraId="12A20386">
      <w:pPr>
        <w:ind w:firstLine="420" w:firstLineChars="200"/>
        <w:rPr>
          <w:lang w:val="zh-CN"/>
        </w:rPr>
      </w:pPr>
      <w:r>
        <w:rPr>
          <w:bCs/>
          <w:kern w:val="0"/>
          <w:szCs w:val="21"/>
        </w:rPr>
        <w:t>——</w:t>
      </w:r>
      <w:r>
        <w:rPr>
          <w:rFonts w:hint="eastAsia"/>
          <w:lang w:val="zh-CN"/>
        </w:rPr>
        <w:t>三光气等光气类化学品。</w:t>
      </w:r>
    </w:p>
    <w:p w14:paraId="663992D3">
      <w:pPr>
        <w:pStyle w:val="39"/>
        <w:ind w:left="0"/>
      </w:pPr>
      <w:r>
        <w:rPr>
          <w:rFonts w:hint="eastAsia"/>
          <w:highlight w:val="yellow"/>
        </w:rPr>
        <w:t>危险化品重大危险源</w:t>
      </w:r>
      <w:r>
        <w:rPr>
          <w:highlight w:val="yellow"/>
        </w:rPr>
        <w:t xml:space="preserve">Major hazard </w:t>
      </w:r>
      <w:r>
        <w:rPr>
          <w:rFonts w:hint="eastAsia"/>
          <w:highlight w:val="yellow"/>
        </w:rPr>
        <w:t>installations for hazardous chemicals</w:t>
      </w:r>
    </w:p>
    <w:p w14:paraId="69555EFD">
      <w:pPr>
        <w:ind w:firstLine="420" w:firstLineChars="200"/>
        <w:rPr>
          <w:lang w:val="zh-CN"/>
        </w:rPr>
      </w:pPr>
      <w:r>
        <w:rPr>
          <w:lang w:val="zh-CN"/>
        </w:rPr>
        <w:t>长期地或临时地生产、</w:t>
      </w:r>
      <w:r>
        <w:rPr>
          <w:highlight w:val="yellow"/>
          <w:lang w:val="zh-CN"/>
        </w:rPr>
        <w:t>储存</w:t>
      </w:r>
      <w:r>
        <w:rPr>
          <w:rFonts w:hint="eastAsia"/>
          <w:highlight w:val="yellow"/>
          <w:lang w:val="zh-CN"/>
        </w:rPr>
        <w:t>、</w:t>
      </w:r>
      <w:r>
        <w:rPr>
          <w:highlight w:val="yellow"/>
          <w:lang w:val="zh-CN"/>
        </w:rPr>
        <w:t>加工、使用或</w:t>
      </w:r>
      <w:r>
        <w:rPr>
          <w:rFonts w:hint="eastAsia"/>
          <w:highlight w:val="yellow"/>
          <w:lang w:val="zh-CN"/>
        </w:rPr>
        <w:t>经营</w:t>
      </w:r>
      <w:r>
        <w:rPr>
          <w:highlight w:val="yellow"/>
          <w:lang w:val="zh-CN"/>
        </w:rPr>
        <w:t>危</w:t>
      </w:r>
      <w:r>
        <w:rPr>
          <w:lang w:val="zh-CN"/>
        </w:rPr>
        <w:t>险化学品，且危险化学品的数量等于或超过临界量的单元。</w:t>
      </w:r>
    </w:p>
    <w:p w14:paraId="3A42504D">
      <w:pPr>
        <w:pStyle w:val="42"/>
      </w:pPr>
      <w:bookmarkStart w:id="41" w:name="_Toc375573666"/>
      <w:bookmarkStart w:id="42" w:name="_Toc423007381"/>
      <w:bookmarkStart w:id="43" w:name="_Toc423007763"/>
      <w:r>
        <w:t>厂址、总平面布置</w:t>
      </w:r>
      <w:bookmarkEnd w:id="41"/>
      <w:bookmarkEnd w:id="42"/>
      <w:bookmarkEnd w:id="43"/>
    </w:p>
    <w:p w14:paraId="2EB5DD2C">
      <w:pPr>
        <w:pStyle w:val="39"/>
      </w:pPr>
      <w:bookmarkStart w:id="44" w:name="_Toc375573524"/>
      <w:bookmarkStart w:id="45" w:name="_Toc375573667"/>
      <w:r>
        <w:t>厂址选择</w:t>
      </w:r>
      <w:bookmarkEnd w:id="44"/>
      <w:bookmarkEnd w:id="45"/>
    </w:p>
    <w:p w14:paraId="5D9678D2">
      <w:pPr>
        <w:pStyle w:val="43"/>
        <w:widowControl w:val="0"/>
        <w:spacing w:before="156" w:after="156"/>
        <w:ind w:left="0"/>
        <w:rPr>
          <w:highlight w:val="yellow"/>
        </w:rPr>
      </w:pPr>
      <w:bookmarkStart w:id="46" w:name="_Toc375573668"/>
      <w:bookmarkStart w:id="47" w:name="_Toc375573685"/>
      <w:r>
        <w:rPr>
          <w:rFonts w:hint="eastAsia"/>
          <w:highlight w:val="yellow"/>
        </w:rPr>
        <w:t>项目选址应符合国家工业布局、城乡总体规划及土地利用总体规划得要求。</w:t>
      </w:r>
    </w:p>
    <w:p w14:paraId="1C3BE256">
      <w:pPr>
        <w:pStyle w:val="43"/>
        <w:widowControl w:val="0"/>
        <w:spacing w:before="156" w:after="156"/>
        <w:ind w:left="0"/>
      </w:pPr>
      <w:r>
        <w:t>厂址选择应全面考虑建设项目当地的自然环境和社会环境，对拟建项目地区的地形地貌、水文地质、当地区域规划、环境保护等各种因素进行多方案技术经济比较、论证，选定技术可靠、符合安全、卫生、环保要求的建设方案。</w:t>
      </w:r>
      <w:bookmarkEnd w:id="46"/>
    </w:p>
    <w:p w14:paraId="67EB98DE">
      <w:pPr>
        <w:pStyle w:val="43"/>
        <w:widowControl w:val="0"/>
        <w:spacing w:before="156" w:after="156"/>
        <w:ind w:left="0"/>
      </w:pPr>
      <w:bookmarkStart w:id="48" w:name="_Toc375573669"/>
      <w:r>
        <w:t>厂址选择</w:t>
      </w:r>
      <w:r>
        <w:rPr>
          <w:rFonts w:hint="eastAsia"/>
        </w:rPr>
        <w:t>不</w:t>
      </w:r>
      <w:r>
        <w:t>应充分考虑地震</w:t>
      </w:r>
      <w:r>
        <w:rPr>
          <w:rFonts w:hint="eastAsia"/>
        </w:rPr>
        <w:t>区</w:t>
      </w:r>
      <w:r>
        <w:t>、泥石流</w:t>
      </w:r>
      <w:r>
        <w:rPr>
          <w:rFonts w:hint="eastAsia"/>
        </w:rPr>
        <w:t>、流沙、严重滑坡、溶洞等</w:t>
      </w:r>
      <w:r>
        <w:t>等地质因素以及雷暴、沙暴等气象危害，采取可靠技术方案，避开断层、滑坡、泥石流等地区。</w:t>
      </w:r>
      <w:bookmarkEnd w:id="48"/>
    </w:p>
    <w:p w14:paraId="51CA83E3">
      <w:pPr>
        <w:pStyle w:val="43"/>
        <w:widowControl w:val="0"/>
        <w:spacing w:before="156" w:after="156"/>
        <w:ind w:left="0"/>
      </w:pPr>
      <w:r>
        <w:t>厂址应不受洪水、潮水和内涝的威胁。凡可能受河、海、水库或山洪威胁的企业的场地高程设计，应符合</w:t>
      </w:r>
      <w:r>
        <w:rPr>
          <w:rFonts w:hint="eastAsia"/>
        </w:rPr>
        <w:t>GB 50201</w:t>
      </w:r>
      <w:r>
        <w:t>的有关规定</w:t>
      </w:r>
      <w:r>
        <w:rPr>
          <w:rFonts w:hint="eastAsia"/>
        </w:rPr>
        <w:t>，如不可避免此类地带时，必须采取防洪、</w:t>
      </w:r>
      <w:r>
        <w:rPr>
          <w:rFonts w:hint="eastAsia"/>
          <w:highlight w:val="yellow"/>
        </w:rPr>
        <w:t>排涝的防护措施</w:t>
      </w:r>
      <w:r>
        <w:t>。</w:t>
      </w:r>
    </w:p>
    <w:p w14:paraId="0ADEDE19">
      <w:pPr>
        <w:pStyle w:val="43"/>
        <w:widowControl w:val="0"/>
        <w:spacing w:before="156" w:after="156"/>
        <w:ind w:left="0"/>
      </w:pPr>
      <w:r>
        <w:t>厂址应避开采矿陷落区、水坝(或大堤)溃决后可能淹没地区，与公共设施、军事管理区、水源保护区、基本农田保护区、河流等</w:t>
      </w:r>
      <w:r>
        <w:rPr>
          <w:rFonts w:hint="eastAsia"/>
        </w:rPr>
        <w:t>应</w:t>
      </w:r>
      <w:r>
        <w:t>符合GB</w:t>
      </w:r>
      <w:r>
        <w:rPr>
          <w:rFonts w:hint="eastAsia"/>
        </w:rPr>
        <w:t xml:space="preserve"> </w:t>
      </w:r>
      <w:r>
        <w:t>50489</w:t>
      </w:r>
      <w:r>
        <w:rPr>
          <w:rFonts w:hint="eastAsia"/>
        </w:rPr>
        <w:t>、</w:t>
      </w:r>
      <w:r>
        <w:t>GB</w:t>
      </w:r>
      <w:r>
        <w:rPr>
          <w:rFonts w:hint="eastAsia"/>
        </w:rPr>
        <w:t xml:space="preserve"> </w:t>
      </w:r>
      <w:r>
        <w:t>50160</w:t>
      </w:r>
      <w:r>
        <w:rPr>
          <w:rFonts w:hint="eastAsia"/>
        </w:rPr>
        <w:t>等</w:t>
      </w:r>
      <w:r>
        <w:t>标准所规定的距离</w:t>
      </w:r>
      <w:r>
        <w:rPr>
          <w:rFonts w:hint="eastAsia"/>
        </w:rPr>
        <w:t>要求</w:t>
      </w:r>
      <w:r>
        <w:t>。</w:t>
      </w:r>
    </w:p>
    <w:p w14:paraId="411B771A">
      <w:pPr>
        <w:pStyle w:val="43"/>
        <w:widowControl w:val="0"/>
        <w:spacing w:before="156" w:after="156"/>
        <w:ind w:left="0"/>
      </w:pPr>
      <w:r>
        <w:t>化学合成制药企业与</w:t>
      </w:r>
      <w:r>
        <w:rPr>
          <w:rFonts w:hint="eastAsia"/>
        </w:rPr>
        <w:t>相邻工厂或设施</w:t>
      </w:r>
      <w:r>
        <w:t>之间的</w:t>
      </w:r>
      <w:r>
        <w:rPr>
          <w:rFonts w:hint="eastAsia"/>
        </w:rPr>
        <w:t>防火间距</w:t>
      </w:r>
      <w:r>
        <w:t>应符合</w:t>
      </w:r>
      <w:r>
        <w:rPr>
          <w:highlight w:val="yellow"/>
        </w:rPr>
        <w:t>GB5</w:t>
      </w:r>
      <w:r>
        <w:rPr>
          <w:rFonts w:hint="eastAsia"/>
          <w:highlight w:val="yellow"/>
        </w:rPr>
        <w:t>1283、GB50160</w:t>
      </w:r>
      <w:r>
        <w:t>的有关标准规定。</w:t>
      </w:r>
    </w:p>
    <w:p w14:paraId="14219C72">
      <w:pPr>
        <w:pStyle w:val="43"/>
        <w:widowControl w:val="0"/>
        <w:spacing w:before="156" w:after="156"/>
        <w:ind w:left="0"/>
      </w:pPr>
      <w:r>
        <w:t>企业应采取防止未经达标处理的水体排出厂外的措施。</w:t>
      </w:r>
      <w:r>
        <w:rPr>
          <w:rFonts w:hint="eastAsia"/>
        </w:rPr>
        <w:t>措施包括设置事故水池、事故水罐、提高污水处理能力等。</w:t>
      </w:r>
    </w:p>
    <w:p w14:paraId="6C662C35">
      <w:pPr>
        <w:pStyle w:val="43"/>
        <w:widowControl w:val="0"/>
        <w:spacing w:before="156" w:after="156"/>
        <w:ind w:left="0"/>
        <w:rPr>
          <w:highlight w:val="yellow"/>
        </w:rPr>
      </w:pPr>
      <w:r>
        <w:rPr>
          <w:rFonts w:hint="eastAsia"/>
          <w:highlight w:val="yellow"/>
        </w:rPr>
        <w:t>厂址应具有满足建设工程需要的水文地质条件和工程地质条件。</w:t>
      </w:r>
    </w:p>
    <w:p w14:paraId="5281FF16">
      <w:pPr>
        <w:pStyle w:val="43"/>
        <w:widowControl w:val="0"/>
        <w:spacing w:before="156" w:after="156"/>
        <w:ind w:left="0"/>
        <w:rPr>
          <w:highlight w:val="yellow"/>
        </w:rPr>
      </w:pPr>
      <w:r>
        <w:rPr>
          <w:rFonts w:hint="eastAsia"/>
          <w:highlight w:val="yellow"/>
        </w:rPr>
        <w:t>厂址应具有满足生产、生活及发展所必需的水源和电源。水源和电源与厂址之间的管线连接应尽量短捷，且用水、用电量（特别）大的工业企业宜靠近水源及电源地。</w:t>
      </w:r>
    </w:p>
    <w:p w14:paraId="6B52E3C4">
      <w:pPr>
        <w:pStyle w:val="39"/>
      </w:pPr>
      <w:bookmarkStart w:id="49" w:name="_Toc375573525"/>
      <w:bookmarkStart w:id="50" w:name="_Toc375573675"/>
      <w:r>
        <w:t>总平面布置</w:t>
      </w:r>
      <w:bookmarkEnd w:id="49"/>
      <w:bookmarkEnd w:id="50"/>
    </w:p>
    <w:p w14:paraId="29F1C8F0">
      <w:pPr>
        <w:pStyle w:val="43"/>
        <w:spacing w:before="156" w:after="156"/>
        <w:ind w:left="0"/>
      </w:pPr>
      <w:bookmarkStart w:id="51" w:name="_Toc375573676"/>
      <w:r>
        <w:t>企业厂区总平面应根据厂内各生产系统及安全、卫生要求，结合地形、风向等条件，按功能要求进行合理分区布置。企业预留的发展用地应满足生产设施、辅助设施、公用工程、交通运输、仓储及管线等设施的需要。</w:t>
      </w:r>
      <w:bookmarkEnd w:id="51"/>
    </w:p>
    <w:p w14:paraId="2C9CC8C6">
      <w:pPr>
        <w:pStyle w:val="43"/>
        <w:spacing w:before="156" w:after="156"/>
        <w:ind w:left="0"/>
      </w:pPr>
      <w:bookmarkStart w:id="52" w:name="_Toc375573677"/>
      <w:r>
        <w:t>厂内火灾危险性较高、散发烟尘、毒气的生产区应布置在全年最小风频率的上风向，行政区、辅助区宜位于全年最小风频率的下风向。</w:t>
      </w:r>
      <w:bookmarkEnd w:id="52"/>
    </w:p>
    <w:p w14:paraId="678615D9">
      <w:pPr>
        <w:pStyle w:val="43"/>
        <w:spacing w:before="156" w:after="156"/>
        <w:ind w:left="0"/>
      </w:pPr>
      <w:bookmarkStart w:id="53" w:name="_Toc375573678"/>
      <w:r>
        <w:t>储存甲、乙、丙类火灾危险性物品的堆场、仓库、罐区应归类分区，宜布置在厂区边缘地带，</w:t>
      </w:r>
      <w:r>
        <w:rPr>
          <w:rFonts w:hint="eastAsia"/>
        </w:rPr>
        <w:t>并</w:t>
      </w:r>
      <w:r>
        <w:t>应远离明火或散发火花的地点。</w:t>
      </w:r>
      <w:bookmarkEnd w:id="53"/>
    </w:p>
    <w:p w14:paraId="12DDAC18">
      <w:pPr>
        <w:pStyle w:val="43"/>
        <w:spacing w:before="156" w:after="156"/>
        <w:ind w:left="0"/>
      </w:pPr>
      <w:r>
        <w:t>生产区、行政区、辅助区的总体布局应合理，不</w:t>
      </w:r>
      <w:r>
        <w:rPr>
          <w:rFonts w:hint="eastAsia"/>
        </w:rPr>
        <w:t>应</w:t>
      </w:r>
      <w:r>
        <w:t>互相妨碍。办公楼、维修车间、化验室等人员较多的场所宜布置在厂前区面向厂前道路一侧。</w:t>
      </w:r>
    </w:p>
    <w:p w14:paraId="74E9535F">
      <w:pPr>
        <w:pStyle w:val="43"/>
        <w:spacing w:before="156" w:after="156"/>
        <w:ind w:left="0"/>
      </w:pPr>
      <w:bookmarkStart w:id="54" w:name="_Toc375573680"/>
      <w:r>
        <w:t>企业应设置至少两个出入口，企业应合理地组织货流和人流，危险货物的运输应有规定的路线，不宜与人流及其它货流混行或平交。应避免进出厂的主要货流与企业外部交通干线的平面交叉。</w:t>
      </w:r>
      <w:bookmarkEnd w:id="54"/>
    </w:p>
    <w:p w14:paraId="337BEAF6">
      <w:pPr>
        <w:pStyle w:val="43"/>
        <w:spacing w:before="156" w:after="156"/>
        <w:ind w:left="0"/>
      </w:pPr>
      <w:bookmarkStart w:id="55" w:name="_Toc375573681"/>
      <w:r>
        <w:t>厂内铁路、道路应避免交叉。铁路、道路运输的设置应符合GB</w:t>
      </w:r>
      <w:r>
        <w:rPr>
          <w:rFonts w:hint="eastAsia"/>
        </w:rPr>
        <w:t xml:space="preserve"> </w:t>
      </w:r>
      <w:r>
        <w:t>4387的有关规定。</w:t>
      </w:r>
      <w:bookmarkEnd w:id="55"/>
    </w:p>
    <w:p w14:paraId="284B6AA2">
      <w:pPr>
        <w:pStyle w:val="43"/>
        <w:spacing w:before="156" w:after="156"/>
        <w:ind w:left="0"/>
      </w:pPr>
      <w:r>
        <w:t>厂内道路应根据交通、安全、消防和分区的要求合理布置。</w:t>
      </w:r>
      <w:r>
        <w:rPr>
          <w:rFonts w:hint="eastAsia"/>
        </w:rPr>
        <w:t>厂内主干道的最大纵坡不应大于6 %，甲、乙类</w:t>
      </w:r>
      <w:r>
        <w:t>危险场所的消防道路应为环形，消防车道的净宽度和净空高度均不应小于4.0</w:t>
      </w:r>
      <w:r>
        <w:rPr>
          <w:rFonts w:hint="eastAsia"/>
        </w:rPr>
        <w:t xml:space="preserve"> </w:t>
      </w:r>
      <w:r>
        <w:t>m，保证消防及应急车辆的畅行无阻。</w:t>
      </w:r>
    </w:p>
    <w:p w14:paraId="19C9A149">
      <w:pPr>
        <w:pStyle w:val="43"/>
        <w:spacing w:before="156" w:after="156"/>
        <w:ind w:left="0"/>
      </w:pPr>
      <w:r>
        <w:t>厂内的绿化</w:t>
      </w:r>
      <w:r>
        <w:rPr>
          <w:rFonts w:hint="eastAsia"/>
        </w:rPr>
        <w:t>宜选择含水分较多的树种；生产区域不应种植含油脂较多的树木；罐区防火堤内不应进行绿化。</w:t>
      </w:r>
    </w:p>
    <w:p w14:paraId="6A13379C">
      <w:pPr>
        <w:pStyle w:val="43"/>
        <w:spacing w:before="156" w:after="156"/>
        <w:ind w:left="0"/>
        <w:rPr>
          <w:highlight w:val="yellow"/>
        </w:rPr>
      </w:pPr>
      <w:bookmarkStart w:id="56" w:name="_Toc375573684"/>
      <w:r>
        <w:rPr>
          <w:rFonts w:hint="eastAsia"/>
          <w:highlight w:val="yellow"/>
        </w:rPr>
        <w:t>公路、地区</w:t>
      </w:r>
      <w:r>
        <w:rPr>
          <w:highlight w:val="yellow"/>
        </w:rPr>
        <w:t>架空电力</w:t>
      </w:r>
      <w:r>
        <w:rPr>
          <w:rFonts w:hint="eastAsia"/>
          <w:highlight w:val="yellow"/>
        </w:rPr>
        <w:t>线路不应穿越生产区，地区输油（输气）管道不应穿越厂区</w:t>
      </w:r>
      <w:r>
        <w:rPr>
          <w:highlight w:val="yellow"/>
        </w:rPr>
        <w:t>。</w:t>
      </w:r>
      <w:bookmarkEnd w:id="56"/>
    </w:p>
    <w:p w14:paraId="476B9E25">
      <w:pPr>
        <w:pStyle w:val="43"/>
        <w:spacing w:before="156" w:after="156"/>
        <w:ind w:left="0"/>
        <w:rPr>
          <w:highlight w:val="yellow"/>
        </w:rPr>
      </w:pPr>
      <w:r>
        <w:rPr>
          <w:rFonts w:hint="eastAsia"/>
          <w:highlight w:val="yellow"/>
        </w:rPr>
        <w:t>应根据工厂总体布置的要求、生产过程的性质和设备特点确定预留区的位置。</w:t>
      </w:r>
    </w:p>
    <w:p w14:paraId="40982D8F">
      <w:pPr>
        <w:pStyle w:val="42"/>
      </w:pPr>
      <w:bookmarkStart w:id="57" w:name="_Toc423007382"/>
      <w:bookmarkStart w:id="58" w:name="_Toc423007764"/>
      <w:r>
        <w:t>厂房</w:t>
      </w:r>
      <w:r>
        <w:rPr>
          <w:rFonts w:hint="eastAsia"/>
        </w:rPr>
        <w:t>与仓库</w:t>
      </w:r>
      <w:bookmarkEnd w:id="47"/>
      <w:bookmarkEnd w:id="57"/>
      <w:bookmarkEnd w:id="58"/>
    </w:p>
    <w:p w14:paraId="756F6558">
      <w:pPr>
        <w:pStyle w:val="39"/>
      </w:pPr>
      <w:bookmarkStart w:id="59" w:name="_Toc375573526"/>
      <w:bookmarkStart w:id="60" w:name="_Toc375573686"/>
      <w:r>
        <w:rPr>
          <w:rFonts w:hint="eastAsia"/>
        </w:rPr>
        <w:t>一般规定</w:t>
      </w:r>
      <w:bookmarkEnd w:id="59"/>
      <w:bookmarkEnd w:id="60"/>
    </w:p>
    <w:p w14:paraId="1EE104D9">
      <w:pPr>
        <w:pStyle w:val="43"/>
        <w:spacing w:before="156" w:after="156"/>
        <w:ind w:left="0"/>
      </w:pPr>
      <w:bookmarkStart w:id="61" w:name="_Toc375573687"/>
      <w:r>
        <w:rPr>
          <w:rFonts w:hint="eastAsia"/>
        </w:rPr>
        <w:t>厂房与仓库</w:t>
      </w:r>
      <w:r>
        <w:t>的火灾危险性、耐火等级</w:t>
      </w:r>
      <w:r>
        <w:rPr>
          <w:rFonts w:hint="eastAsia"/>
        </w:rPr>
        <w:t>、安全疏、防火分区</w:t>
      </w:r>
      <w:r>
        <w:rPr>
          <w:rFonts w:hint="eastAsia"/>
          <w:highlight w:val="yellow"/>
        </w:rPr>
        <w:t>、层数及面积</w:t>
      </w:r>
      <w:r>
        <w:t>应</w:t>
      </w:r>
      <w:r>
        <w:rPr>
          <w:rFonts w:hint="eastAsia"/>
        </w:rPr>
        <w:t>符合</w:t>
      </w:r>
      <w:r>
        <w:t>GB</w:t>
      </w:r>
      <w:r>
        <w:rPr>
          <w:rFonts w:hint="eastAsia"/>
        </w:rPr>
        <w:t xml:space="preserve"> </w:t>
      </w:r>
      <w:r>
        <w:t>50016</w:t>
      </w:r>
      <w:r>
        <w:rPr>
          <w:rFonts w:hint="eastAsia"/>
        </w:rPr>
        <w:t>的有关规定。</w:t>
      </w:r>
      <w:r>
        <w:t>有火灾、爆炸危险场所的建(构)筑物的结构形式以及选用的材料，</w:t>
      </w:r>
      <w:r>
        <w:rPr>
          <w:rFonts w:hint="eastAsia"/>
        </w:rPr>
        <w:t>应</w:t>
      </w:r>
      <w:r>
        <w:t>符合防火、防爆的要求。</w:t>
      </w:r>
      <w:bookmarkEnd w:id="61"/>
    </w:p>
    <w:p w14:paraId="579FA085">
      <w:pPr>
        <w:pStyle w:val="43"/>
        <w:spacing w:before="156" w:after="156"/>
        <w:ind w:left="0"/>
      </w:pPr>
      <w:bookmarkStart w:id="62" w:name="_Toc375573688"/>
      <w:r>
        <w:t>有爆炸危险的厂房</w:t>
      </w:r>
      <w:r>
        <w:rPr>
          <w:rFonts w:hint="eastAsia"/>
        </w:rPr>
        <w:t>与仓库</w:t>
      </w:r>
      <w:r>
        <w:t>应设置泄压设施，其泄压值应符合GB</w:t>
      </w:r>
      <w:r>
        <w:rPr>
          <w:rFonts w:hint="eastAsia"/>
        </w:rPr>
        <w:t xml:space="preserve"> </w:t>
      </w:r>
      <w:r>
        <w:t>50016的有关规定。泄压设施的设置应避开人员密集场所和主要交通道路。</w:t>
      </w:r>
      <w:bookmarkEnd w:id="62"/>
    </w:p>
    <w:p w14:paraId="6C5AB717">
      <w:pPr>
        <w:pStyle w:val="43"/>
        <w:spacing w:before="156" w:after="156"/>
        <w:ind w:left="0"/>
        <w:rPr>
          <w:highlight w:val="yellow"/>
        </w:rPr>
      </w:pPr>
      <w:r>
        <w:rPr>
          <w:rFonts w:hint="eastAsia"/>
          <w:highlight w:val="yellow"/>
        </w:rPr>
        <w:t>厂房和仓库的供暖、通风等设施应符合GB50019的相关规定。事故通风的通风机应分别在室内及靠近外门的外墙上设置电气开关。</w:t>
      </w:r>
    </w:p>
    <w:p w14:paraId="62468126">
      <w:pPr>
        <w:pStyle w:val="43"/>
        <w:spacing w:before="156" w:after="156"/>
        <w:ind w:left="0"/>
        <w:rPr>
          <w:highlight w:val="yellow"/>
        </w:rPr>
      </w:pPr>
      <w:r>
        <w:rPr>
          <w:rFonts w:hint="eastAsia"/>
          <w:highlight w:val="yellow"/>
        </w:rPr>
        <w:t>生产、储存高度和极度危害毒物的厂房和仓库，其墙壁、顶棚和地面均应光滑，便于清扫，并应加设必要的保护层及专门的清洗设施。</w:t>
      </w:r>
    </w:p>
    <w:p w14:paraId="5200D9C5">
      <w:pPr>
        <w:pStyle w:val="39"/>
      </w:pPr>
      <w:bookmarkStart w:id="63" w:name="_Toc375573527"/>
      <w:bookmarkStart w:id="64" w:name="_Toc375573689"/>
      <w:r>
        <w:t>厂房</w:t>
      </w:r>
      <w:bookmarkEnd w:id="63"/>
      <w:bookmarkEnd w:id="64"/>
    </w:p>
    <w:p w14:paraId="5FDEA653">
      <w:pPr>
        <w:pStyle w:val="43"/>
        <w:spacing w:before="156" w:after="156"/>
        <w:ind w:left="0"/>
      </w:pPr>
      <w:bookmarkStart w:id="65" w:name="_Toc375573690"/>
      <w:r>
        <w:t>散发</w:t>
      </w:r>
      <w:r>
        <w:rPr>
          <w:rFonts w:hint="eastAsia"/>
        </w:rPr>
        <w:t>比</w:t>
      </w:r>
      <w:r>
        <w:t>空气重的可燃气体、可燃蒸气的甲类厂房以及有粉尘、纤维爆炸危险的乙类厂房，应采用不发火花的地面。采用绝缘材料作整体面层时，应采取防静电措施。</w:t>
      </w:r>
      <w:bookmarkEnd w:id="65"/>
    </w:p>
    <w:p w14:paraId="2727D8E0">
      <w:pPr>
        <w:pStyle w:val="43"/>
        <w:spacing w:before="156" w:after="156"/>
        <w:ind w:left="0"/>
      </w:pPr>
      <w:bookmarkStart w:id="66" w:name="_Toc375573691"/>
      <w:r>
        <w:t>有爆炸危险的车间应布置在单层厂房内，如因工艺需要厂房为多层时，则应</w:t>
      </w:r>
      <w:r>
        <w:rPr>
          <w:rFonts w:hint="eastAsia"/>
        </w:rPr>
        <w:t>布置</w:t>
      </w:r>
      <w:r>
        <w:t>在最上一层，不</w:t>
      </w:r>
      <w:r>
        <w:rPr>
          <w:rFonts w:hint="eastAsia"/>
        </w:rPr>
        <w:t>应</w:t>
      </w:r>
      <w:r>
        <w:t>设置在地下室或半地下室内。</w:t>
      </w:r>
      <w:bookmarkEnd w:id="66"/>
    </w:p>
    <w:p w14:paraId="3CE2CEB9">
      <w:pPr>
        <w:pStyle w:val="43"/>
        <w:spacing w:before="156" w:after="156"/>
        <w:ind w:left="0"/>
      </w:pPr>
      <w:bookmarkStart w:id="67" w:name="_Toc375573692"/>
      <w:r>
        <w:t>有爆炸危险的工序或设备</w:t>
      </w:r>
      <w:r>
        <w:rPr>
          <w:rFonts w:hint="eastAsia"/>
        </w:rPr>
        <w:t>的厂房</w:t>
      </w:r>
      <w:r>
        <w:rPr>
          <w:rFonts w:hint="eastAsia"/>
          <w:highlight w:val="yellow"/>
        </w:rPr>
        <w:t>宜单独设置，如必须与非防爆厂房贴邻时，应一面贴邻，且两者之间用防火墙或防爆墙隔开。</w:t>
      </w:r>
      <w:bookmarkEnd w:id="67"/>
    </w:p>
    <w:p w14:paraId="3F6C144F">
      <w:pPr>
        <w:pStyle w:val="43"/>
        <w:spacing w:before="156" w:after="156"/>
        <w:ind w:left="0"/>
      </w:pPr>
      <w:bookmarkStart w:id="68" w:name="_Toc375573693"/>
      <w:r>
        <w:t>生产或使用相同爆炸物品的房间，宜集中在一个区域。</w:t>
      </w:r>
      <w:bookmarkEnd w:id="68"/>
    </w:p>
    <w:p w14:paraId="2CA1A0E9">
      <w:pPr>
        <w:pStyle w:val="43"/>
        <w:spacing w:before="156" w:after="156"/>
        <w:ind w:left="0"/>
      </w:pPr>
      <w:bookmarkStart w:id="69" w:name="_Toc375573694"/>
      <w:r>
        <w:t>变、配电所不应设置在甲、乙类厂房内或贴邻建造，且不应设置在爆炸性气体、粉尘环境的危险区域内。供甲、乙类厂房专用的10kV及以下的变、配电所，当采用无门</w:t>
      </w:r>
      <w:r>
        <w:rPr>
          <w:rFonts w:hint="eastAsia"/>
        </w:rPr>
        <w:t>、</w:t>
      </w:r>
      <w:r>
        <w:t>窗</w:t>
      </w:r>
      <w:r>
        <w:rPr>
          <w:rFonts w:hint="eastAsia"/>
        </w:rPr>
        <w:t>、</w:t>
      </w:r>
      <w:r>
        <w:t>洞口的防火墙隔开时，可一面贴邻建造。乙类厂房的配电所必须在防火墙上开窗时，应设置</w:t>
      </w:r>
      <w:r>
        <w:rPr>
          <w:rFonts w:hint="eastAsia"/>
        </w:rPr>
        <w:t>甲级</w:t>
      </w:r>
      <w:r>
        <w:t>防火窗。</w:t>
      </w:r>
      <w:bookmarkEnd w:id="69"/>
    </w:p>
    <w:p w14:paraId="6118658F">
      <w:pPr>
        <w:pStyle w:val="43"/>
        <w:spacing w:before="156" w:after="156"/>
        <w:ind w:left="0"/>
      </w:pPr>
      <w:bookmarkStart w:id="70" w:name="_Toc375573695"/>
      <w:r>
        <w:rPr>
          <w:rFonts w:hint="eastAsia"/>
        </w:rPr>
        <w:t>有爆炸危险的甲、乙类厂房的总控制室应独立设置。</w:t>
      </w:r>
      <w:r>
        <w:t>有爆炸危险的甲、乙类厂房的</w:t>
      </w:r>
      <w:r>
        <w:rPr>
          <w:rFonts w:hint="eastAsia"/>
        </w:rPr>
        <w:t>分</w:t>
      </w:r>
      <w:r>
        <w:t>控制室宜独立设置，当贴邻外墙设置时，应采用耐火极限不低于3.00</w:t>
      </w:r>
      <w:r>
        <w:rPr>
          <w:rFonts w:hint="eastAsia"/>
        </w:rPr>
        <w:t xml:space="preserve"> </w:t>
      </w:r>
      <w:r>
        <w:t>h的</w:t>
      </w:r>
      <w:r>
        <w:rPr>
          <w:rFonts w:hint="eastAsia"/>
        </w:rPr>
        <w:t>防火隔</w:t>
      </w:r>
      <w:r>
        <w:t>墙与其它部分隔开，并应设置独立通向室外的安全出口。</w:t>
      </w:r>
      <w:bookmarkEnd w:id="70"/>
      <w:r>
        <w:t xml:space="preserve"> </w:t>
      </w:r>
    </w:p>
    <w:p w14:paraId="7DE73687">
      <w:pPr>
        <w:pStyle w:val="43"/>
        <w:spacing w:before="156" w:after="156"/>
        <w:ind w:left="0"/>
      </w:pPr>
      <w:r>
        <w:rPr>
          <w:rFonts w:hint="eastAsia"/>
        </w:rPr>
        <w:t>洁净厂房的设计应符合</w:t>
      </w:r>
      <w:bookmarkStart w:id="71" w:name="OLE_LINK4"/>
      <w:bookmarkStart w:id="72" w:name="OLE_LINK5"/>
      <w:r>
        <w:rPr>
          <w:rFonts w:hint="eastAsia"/>
          <w:highlight w:val="yellow"/>
        </w:rPr>
        <w:t>GB 504</w:t>
      </w:r>
      <w:bookmarkEnd w:id="71"/>
      <w:bookmarkEnd w:id="72"/>
      <w:r>
        <w:rPr>
          <w:rFonts w:hint="eastAsia"/>
          <w:highlight w:val="yellow"/>
        </w:rPr>
        <w:t>57</w:t>
      </w:r>
      <w:r>
        <w:rPr>
          <w:rFonts w:hint="eastAsia"/>
        </w:rPr>
        <w:t>，洁净厂房有火灾、爆炸危险的还应符合GB 50058的要求。</w:t>
      </w:r>
    </w:p>
    <w:p w14:paraId="019F8834">
      <w:pPr>
        <w:pStyle w:val="39"/>
      </w:pPr>
      <w:bookmarkStart w:id="73" w:name="_Toc375573528"/>
      <w:bookmarkStart w:id="74" w:name="_Toc375573696"/>
      <w:r>
        <w:rPr>
          <w:rFonts w:hint="eastAsia"/>
        </w:rPr>
        <w:t>仓库</w:t>
      </w:r>
      <w:bookmarkEnd w:id="73"/>
      <w:bookmarkEnd w:id="74"/>
    </w:p>
    <w:p w14:paraId="347235CF">
      <w:pPr>
        <w:pStyle w:val="43"/>
        <w:spacing w:before="156" w:after="156"/>
        <w:ind w:left="0"/>
        <w:rPr>
          <w:highlight w:val="yellow"/>
        </w:rPr>
      </w:pPr>
      <w:bookmarkStart w:id="75" w:name="_Toc375573703"/>
      <w:r>
        <w:rPr>
          <w:rFonts w:hint="eastAsia"/>
          <w:highlight w:val="yellow"/>
        </w:rPr>
        <w:t>应根据储存物料的特性确定存储条件，防止温度、湿度等的变化对物料产生安全影响。</w:t>
      </w:r>
    </w:p>
    <w:p w14:paraId="2A88DEA2">
      <w:pPr>
        <w:pStyle w:val="43"/>
        <w:spacing w:before="156" w:after="156"/>
        <w:ind w:left="0"/>
      </w:pPr>
      <w:r>
        <w:t>危险化学品储存设计应根据危险化学品的性质、危害程度和储存量设置独立的危险化学品仓库，并</w:t>
      </w:r>
      <w:r>
        <w:rPr>
          <w:rFonts w:hint="eastAsia"/>
        </w:rPr>
        <w:t>应</w:t>
      </w:r>
      <w:r>
        <w:t>根据生产需要和储存物品</w:t>
      </w:r>
      <w:r>
        <w:rPr>
          <w:rFonts w:hint="eastAsia"/>
        </w:rPr>
        <w:t>的</w:t>
      </w:r>
      <w:r>
        <w:t>火灾</w:t>
      </w:r>
      <w:r>
        <w:rPr>
          <w:rFonts w:hint="eastAsia"/>
        </w:rPr>
        <w:t>性、爆炸性、毒性、腐蚀性等特征</w:t>
      </w:r>
      <w:r>
        <w:t>，确定</w:t>
      </w:r>
      <w:r>
        <w:rPr>
          <w:rFonts w:hint="eastAsia"/>
        </w:rPr>
        <w:t>仓库的设计要求</w:t>
      </w:r>
      <w:r>
        <w:t>。</w:t>
      </w:r>
    </w:p>
    <w:p w14:paraId="14283D17">
      <w:pPr>
        <w:pStyle w:val="43"/>
        <w:spacing w:before="156" w:after="156"/>
        <w:ind w:left="0"/>
      </w:pPr>
      <w:r>
        <w:t>危险化学品仓库</w:t>
      </w:r>
      <w:r>
        <w:rPr>
          <w:rFonts w:hint="eastAsia"/>
        </w:rPr>
        <w:t>内</w:t>
      </w:r>
      <w:r>
        <w:t>的设计</w:t>
      </w:r>
      <w:r>
        <w:rPr>
          <w:rFonts w:hint="eastAsia"/>
        </w:rPr>
        <w:t>应</w:t>
      </w:r>
      <w:r>
        <w:t>严格执行危险化学品的配置规定。应根据</w:t>
      </w:r>
      <w:r>
        <w:rPr>
          <w:rFonts w:hint="eastAsia"/>
        </w:rPr>
        <w:t>仓库内各类</w:t>
      </w:r>
      <w:r>
        <w:t>危险化学品的化学性质、火灾危险性</w:t>
      </w:r>
      <w:r>
        <w:rPr>
          <w:rFonts w:hint="eastAsia"/>
        </w:rPr>
        <w:t>确定隔离、隔开、分离的</w:t>
      </w:r>
      <w:r>
        <w:t>储存</w:t>
      </w:r>
      <w:r>
        <w:rPr>
          <w:rFonts w:hint="eastAsia"/>
        </w:rPr>
        <w:t>方式</w:t>
      </w:r>
      <w:r>
        <w:t>，</w:t>
      </w:r>
      <w:r>
        <w:rPr>
          <w:rFonts w:hint="eastAsia"/>
          <w:highlight w:val="yellow"/>
        </w:rPr>
        <w:t>相互禁忌</w:t>
      </w:r>
      <w:r>
        <w:rPr>
          <w:highlight w:val="yellow"/>
        </w:rPr>
        <w:t>或消防要求不同的危险化学品</w:t>
      </w:r>
      <w:r>
        <w:rPr>
          <w:rFonts w:hint="eastAsia"/>
          <w:highlight w:val="yellow"/>
        </w:rPr>
        <w:t>不应混放混存</w:t>
      </w:r>
      <w:r>
        <w:t>。</w:t>
      </w:r>
    </w:p>
    <w:p w14:paraId="74C28956">
      <w:pPr>
        <w:pStyle w:val="43"/>
        <w:spacing w:before="156" w:after="156"/>
        <w:ind w:left="0"/>
        <w:rPr>
          <w:highlight w:val="yellow"/>
        </w:rPr>
      </w:pPr>
      <w:r>
        <w:rPr>
          <w:rFonts w:hint="eastAsia"/>
          <w:highlight w:val="yellow"/>
        </w:rPr>
        <w:t>剧毒化学品、易燃气体、氧化性气体、急性毒性气体、遇水放出易燃气体的物质和混合物、氯酸盐、高锰酸盐、亚硝酸盐、过氧化钠、过氧化氢、溴素应分离储存。</w:t>
      </w:r>
    </w:p>
    <w:p w14:paraId="4CA09762">
      <w:pPr>
        <w:pStyle w:val="43"/>
        <w:spacing w:before="156" w:after="156"/>
        <w:ind w:left="0"/>
        <w:rPr>
          <w:highlight w:val="yellow"/>
        </w:rPr>
      </w:pPr>
      <w:r>
        <w:rPr>
          <w:rFonts w:hint="eastAsia"/>
          <w:highlight w:val="yellow"/>
        </w:rPr>
        <w:t>低、中闪点液体、一级易燃固体、自燃物品、压缩气体和液化气体类应储存于一级耐火建筑的库房内。</w:t>
      </w:r>
    </w:p>
    <w:p w14:paraId="5E091A48">
      <w:pPr>
        <w:pStyle w:val="43"/>
        <w:spacing w:before="156" w:after="156"/>
        <w:ind w:left="0"/>
        <w:rPr>
          <w:highlight w:val="yellow"/>
        </w:rPr>
      </w:pPr>
      <w:r>
        <w:rPr>
          <w:rFonts w:hint="eastAsia"/>
          <w:highlight w:val="yellow"/>
        </w:rPr>
        <w:t>厂房内设置中间仓库时，甲、乙类中间仓库应靠外墙布置，其储量不宜超过1昼夜的需要量。</w:t>
      </w:r>
    </w:p>
    <w:p w14:paraId="79569A2C">
      <w:pPr>
        <w:pStyle w:val="43"/>
        <w:spacing w:before="156" w:after="156"/>
        <w:ind w:left="0"/>
      </w:pPr>
      <w:r>
        <w:t>危险化学品仓库应根据危险化学品性质设计相应的防火、防爆、防毒、防腐、泄压、通风、温度调节、湿度、防雨雪、防雷电等设施，并应配备消防设施</w:t>
      </w:r>
      <w:r>
        <w:rPr>
          <w:rFonts w:hint="eastAsia"/>
        </w:rPr>
        <w:t>及器材</w:t>
      </w:r>
      <w:r>
        <w:t>、安全标志和人员个体防护装备。</w:t>
      </w:r>
    </w:p>
    <w:p w14:paraId="28D80714">
      <w:pPr>
        <w:pStyle w:val="43"/>
        <w:spacing w:before="156" w:after="156"/>
        <w:ind w:left="0"/>
      </w:pPr>
      <w:bookmarkStart w:id="76" w:name="_Toc375573700"/>
      <w:r>
        <w:t>储存剧毒化学品的仓库，应执行"五双"管理制度，即：双人验收、双人保管、双人发货、双把锁、双本账，并应设置报警、防盗、监控设施。</w:t>
      </w:r>
      <w:bookmarkEnd w:id="76"/>
    </w:p>
    <w:p w14:paraId="42CF5F4E">
      <w:pPr>
        <w:pStyle w:val="43"/>
        <w:spacing w:before="156" w:after="156"/>
        <w:ind w:left="0"/>
      </w:pPr>
      <w:r>
        <w:t>甲、乙类危险化学品仓库内不</w:t>
      </w:r>
      <w:r>
        <w:rPr>
          <w:rFonts w:hint="eastAsia"/>
        </w:rPr>
        <w:t>应</w:t>
      </w:r>
      <w:r>
        <w:t>设办公室、休息室，并不应与其贴邻建设。</w:t>
      </w:r>
      <w:r>
        <w:rPr>
          <w:rFonts w:hint="eastAsia"/>
        </w:rPr>
        <w:t>办公室、休息室设置在丙类厂房内时，应采用耐火极限不低于2.5h的防火隔墙和1.00h的楼板与其他部位分隔，并应至少设置1个独立的安全出口。</w:t>
      </w:r>
      <w:r>
        <w:t>汽车不</w:t>
      </w:r>
      <w:r>
        <w:rPr>
          <w:rFonts w:hint="eastAsia"/>
        </w:rPr>
        <w:t>应</w:t>
      </w:r>
      <w:r>
        <w:t>进入甲、乙</w:t>
      </w:r>
      <w:r>
        <w:rPr>
          <w:rFonts w:hint="eastAsia"/>
        </w:rPr>
        <w:t>、丙</w:t>
      </w:r>
      <w:r>
        <w:t>类危险化学品仓库。</w:t>
      </w:r>
    </w:p>
    <w:p w14:paraId="260BA2B8">
      <w:pPr>
        <w:pStyle w:val="43"/>
        <w:spacing w:before="156" w:after="156"/>
        <w:ind w:left="0"/>
      </w:pPr>
      <w:bookmarkStart w:id="77" w:name="_Toc375573702"/>
      <w:r>
        <w:t>储存液体物品的仓库应设置防止液体流散的设施。</w:t>
      </w:r>
      <w:bookmarkEnd w:id="77"/>
    </w:p>
    <w:p w14:paraId="29FD659F">
      <w:pPr>
        <w:pStyle w:val="43"/>
        <w:spacing w:before="156" w:after="156"/>
        <w:ind w:left="0"/>
        <w:rPr>
          <w:highlight w:val="yellow"/>
        </w:rPr>
      </w:pPr>
      <w:r>
        <w:rPr>
          <w:rFonts w:hint="eastAsia"/>
          <w:highlight w:val="yellow"/>
        </w:rPr>
        <w:t>储存物料堆码应整齐、牢固、无倒置，不应遮挡消防设备、安全设备、安全标志和通道。</w:t>
      </w:r>
    </w:p>
    <w:p w14:paraId="7ED0CD92">
      <w:pPr>
        <w:pStyle w:val="42"/>
      </w:pPr>
      <w:bookmarkStart w:id="78" w:name="_Toc423007383"/>
      <w:bookmarkStart w:id="79" w:name="_Toc423007765"/>
      <w:r>
        <w:t>工艺装置</w:t>
      </w:r>
      <w:bookmarkEnd w:id="75"/>
      <w:bookmarkEnd w:id="78"/>
      <w:bookmarkEnd w:id="79"/>
    </w:p>
    <w:p w14:paraId="34387EC6">
      <w:pPr>
        <w:pStyle w:val="39"/>
        <w:ind w:left="0"/>
      </w:pPr>
      <w:bookmarkStart w:id="80" w:name="_Toc375573529"/>
      <w:bookmarkStart w:id="81" w:name="_Toc375573704"/>
      <w:r>
        <w:rPr>
          <w:rFonts w:hint="eastAsia"/>
        </w:rPr>
        <w:t>一般规定</w:t>
      </w:r>
      <w:bookmarkEnd w:id="80"/>
      <w:bookmarkEnd w:id="81"/>
    </w:p>
    <w:p w14:paraId="23C34BEA">
      <w:pPr>
        <w:pStyle w:val="43"/>
        <w:spacing w:before="156" w:after="156"/>
        <w:ind w:left="0"/>
      </w:pPr>
      <w:bookmarkStart w:id="82" w:name="_Toc375573705"/>
      <w:r>
        <w:t>生产工艺</w:t>
      </w:r>
      <w:r>
        <w:rPr>
          <w:highlight w:val="yellow"/>
        </w:rPr>
        <w:t>安全设计</w:t>
      </w:r>
      <w:r>
        <w:rPr>
          <w:rFonts w:hint="eastAsia"/>
        </w:rPr>
        <w:t>应</w:t>
      </w:r>
      <w:r>
        <w:t>符合人</w:t>
      </w:r>
      <w:r>
        <w:rPr>
          <w:rFonts w:hint="eastAsia"/>
        </w:rPr>
        <w:t>-</w:t>
      </w:r>
      <w:r>
        <w:t>机工程的原则，以便最大限度地降低操作者的劳动强度以及精神紧张状态。</w:t>
      </w:r>
      <w:bookmarkEnd w:id="82"/>
    </w:p>
    <w:p w14:paraId="4C55B462">
      <w:pPr>
        <w:pStyle w:val="43"/>
        <w:spacing w:before="156" w:after="156"/>
        <w:ind w:left="0"/>
        <w:rPr>
          <w:highlight w:val="yellow"/>
        </w:rPr>
      </w:pPr>
      <w:r>
        <w:rPr>
          <w:rFonts w:hint="eastAsia"/>
          <w:highlight w:val="yellow"/>
        </w:rPr>
        <w:t>具有危险和有害因素的生产装置，应采用机械化、自动化及智能化技术，实现遥控、隔离操作。</w:t>
      </w:r>
    </w:p>
    <w:p w14:paraId="7430B0ED">
      <w:pPr>
        <w:pStyle w:val="43"/>
        <w:spacing w:before="156" w:after="156"/>
        <w:ind w:left="0"/>
        <w:rPr>
          <w:highlight w:val="yellow"/>
        </w:rPr>
      </w:pPr>
      <w:r>
        <w:rPr>
          <w:rFonts w:hint="eastAsia"/>
          <w:highlight w:val="yellow"/>
        </w:rPr>
        <w:t>应选用没有危害和危害较小的生产物料。若使用给人员带来危险和有害作用的生产物料时，则应采取相应的防护措施，并制定使用、处理、储存和运输的安全标准。</w:t>
      </w:r>
    </w:p>
    <w:p w14:paraId="628BE17F">
      <w:pPr>
        <w:pStyle w:val="43"/>
        <w:spacing w:before="156" w:after="156"/>
        <w:ind w:left="0"/>
        <w:rPr>
          <w:highlight w:val="yellow"/>
        </w:rPr>
      </w:pPr>
      <w:r>
        <w:rPr>
          <w:rFonts w:hint="eastAsia"/>
          <w:highlight w:val="yellow"/>
        </w:rPr>
        <w:t>应采用没有危害或危害较小的新工艺、新技术、新设备、新材料，拟采用前应进行安全风险评估或工艺危险性分析。</w:t>
      </w:r>
    </w:p>
    <w:p w14:paraId="7556F81B">
      <w:pPr>
        <w:pStyle w:val="39"/>
        <w:ind w:left="0"/>
        <w:rPr>
          <w:highlight w:val="yellow"/>
        </w:rPr>
      </w:pPr>
      <w:r>
        <w:rPr>
          <w:rFonts w:hint="eastAsia"/>
          <w:highlight w:val="yellow"/>
        </w:rPr>
        <w:t>工艺系统</w:t>
      </w:r>
    </w:p>
    <w:p w14:paraId="6543BACD">
      <w:pPr>
        <w:pStyle w:val="43"/>
        <w:spacing w:before="156" w:after="156"/>
        <w:ind w:left="0"/>
        <w:rPr>
          <w:highlight w:val="yellow"/>
        </w:rPr>
      </w:pPr>
      <w:bookmarkStart w:id="83" w:name="_Toc375573706"/>
      <w:r>
        <w:rPr>
          <w:rFonts w:hint="eastAsia"/>
          <w:highlight w:val="yellow"/>
        </w:rPr>
        <w:t>较高危险度等级的反应工艺过程应配置独立的安全仪表系统，其安全完整性等级应在危险与可操作性研究（HAZOP）和层次保护分析（LOPA）的基础上，通过风险分析确定。</w:t>
      </w:r>
    </w:p>
    <w:p w14:paraId="5DCF0D77">
      <w:pPr>
        <w:pStyle w:val="43"/>
        <w:spacing w:before="156" w:after="156"/>
        <w:ind w:left="0"/>
        <w:rPr>
          <w:highlight w:val="yellow"/>
        </w:rPr>
      </w:pPr>
      <w:r>
        <w:rPr>
          <w:rFonts w:hint="eastAsia"/>
          <w:highlight w:val="yellow"/>
        </w:rPr>
        <w:t>使用或生产甲、乙类物质的工艺系统优先采用密闭设备，当不具备密闭条件，应采取有效的安全环保措施。</w:t>
      </w:r>
    </w:p>
    <w:p w14:paraId="161E169F">
      <w:pPr>
        <w:pStyle w:val="43"/>
        <w:spacing w:before="156" w:after="156"/>
        <w:ind w:left="0"/>
      </w:pPr>
      <w:r>
        <w:rPr>
          <w:rFonts w:hint="eastAsia"/>
        </w:rPr>
        <w:t>宜采</w:t>
      </w:r>
      <w:r>
        <w:t>用不燃性溶剂代替易燃溶剂，危害性较小的溶剂代替危害性大的溶剂。各种溶剂应回收、精制处理后循环使用。应采用无废或低废工艺技术，减少危险废物</w:t>
      </w:r>
      <w:r>
        <w:rPr>
          <w:rFonts w:hint="eastAsia"/>
        </w:rPr>
        <w:t>的</w:t>
      </w:r>
      <w:r>
        <w:t>产生量。</w:t>
      </w:r>
      <w:bookmarkEnd w:id="83"/>
    </w:p>
    <w:p w14:paraId="70976356">
      <w:pPr>
        <w:pStyle w:val="43"/>
        <w:spacing w:before="156" w:after="156"/>
        <w:ind w:left="0"/>
      </w:pPr>
      <w:r>
        <w:rPr>
          <w:rFonts w:hint="eastAsia"/>
        </w:rPr>
        <w:t>生产、储存重点监管危险化学品的企业，应根据本企业工艺特点，装备功能完善的自动化控制系统，严格工艺、设备管理。对使用重点监管危险化学品数量构成重大危险源的企业的生产、储存装置，应装备自动化控制系统，实现对温度、压力、液位等重要参数的实时监测。重点监管的危险化工工艺应确定重点监控的工艺参数、安全控制的基本要求。</w:t>
      </w:r>
    </w:p>
    <w:p w14:paraId="203A160C">
      <w:pPr>
        <w:pStyle w:val="43"/>
        <w:spacing w:before="156" w:after="156"/>
        <w:ind w:left="0"/>
      </w:pPr>
      <w:bookmarkStart w:id="84" w:name="_Toc375573707"/>
      <w:r>
        <w:t>有</w:t>
      </w:r>
      <w:r>
        <w:rPr>
          <w:rFonts w:hint="eastAsia"/>
        </w:rPr>
        <w:t>毒或易燃、易爆</w:t>
      </w:r>
      <w:r>
        <w:t>的生产过程</w:t>
      </w:r>
      <w:r>
        <w:rPr>
          <w:rFonts w:hint="eastAsia"/>
        </w:rPr>
        <w:t>，为防止物料泄漏，对</w:t>
      </w:r>
      <w:r>
        <w:t>重要阀门</w:t>
      </w:r>
      <w:r>
        <w:rPr>
          <w:rFonts w:hint="eastAsia"/>
        </w:rPr>
        <w:t>宜</w:t>
      </w:r>
      <w:r>
        <w:t>采用</w:t>
      </w:r>
      <w:r>
        <w:rPr>
          <w:rFonts w:hint="eastAsia"/>
        </w:rPr>
        <w:t>手动和自动</w:t>
      </w:r>
      <w:r>
        <w:t>控制</w:t>
      </w:r>
      <w:r>
        <w:rPr>
          <w:rFonts w:hint="eastAsia"/>
        </w:rPr>
        <w:t>。</w:t>
      </w:r>
      <w:r>
        <w:t>对高毒、剧毒</w:t>
      </w:r>
      <w:r>
        <w:rPr>
          <w:rFonts w:hint="eastAsia"/>
        </w:rPr>
        <w:t>的</w:t>
      </w:r>
      <w:r>
        <w:t>岗位，</w:t>
      </w:r>
      <w:r>
        <w:rPr>
          <w:rFonts w:hint="eastAsia"/>
        </w:rPr>
        <w:t>宜</w:t>
      </w:r>
      <w:r>
        <w:t>隔离操作或远距离操</w:t>
      </w:r>
      <w:r>
        <w:rPr>
          <w:rFonts w:hint="eastAsia"/>
        </w:rPr>
        <w:t>作</w:t>
      </w:r>
      <w:r>
        <w:t>。</w:t>
      </w:r>
      <w:bookmarkEnd w:id="84"/>
    </w:p>
    <w:p w14:paraId="69F64A18">
      <w:pPr>
        <w:pStyle w:val="43"/>
        <w:spacing w:before="156" w:after="156"/>
        <w:ind w:left="0"/>
      </w:pPr>
      <w:bookmarkStart w:id="85" w:name="_Toc375573708"/>
      <w:r>
        <w:rPr>
          <w:rFonts w:hint="eastAsia"/>
        </w:rPr>
        <w:t>具有易燃、易爆、高温(或深冷)、高压(或高真空)的生产过程</w:t>
      </w:r>
      <w:r>
        <w:t>，应设计可靠的监测仪器、仪表，并设计必要的自动报警和自动联锁系统。</w:t>
      </w:r>
      <w:bookmarkEnd w:id="85"/>
    </w:p>
    <w:p w14:paraId="66DE2BF7">
      <w:pPr>
        <w:pStyle w:val="43"/>
        <w:spacing w:before="156" w:after="156"/>
        <w:ind w:left="0"/>
      </w:pPr>
      <w:bookmarkStart w:id="86" w:name="_Toc375573712"/>
      <w:r>
        <w:rPr>
          <w:rFonts w:hint="eastAsia"/>
        </w:rPr>
        <w:t>高毒、剧毒及重点监管危险化学品的配料、加料过程宜采用密闭的自动操作，如不能实现，工人应配备相应的个体防护用品。</w:t>
      </w:r>
      <w:bookmarkEnd w:id="86"/>
    </w:p>
    <w:p w14:paraId="47EE51C9">
      <w:pPr>
        <w:pStyle w:val="43"/>
        <w:spacing w:before="156" w:after="156"/>
        <w:ind w:left="0"/>
        <w:rPr>
          <w:highlight w:val="yellow"/>
        </w:rPr>
      </w:pPr>
      <w:r>
        <w:rPr>
          <w:rFonts w:hint="eastAsia"/>
          <w:highlight w:val="yellow"/>
        </w:rPr>
        <w:t>涉及固体、液体加料现场操作的，原则上应设置密闭、自动加料装置。因物料特性、工艺特点和装备设施等因素确实无法实现密闭、自动加料的，应采取安全措施。</w:t>
      </w:r>
    </w:p>
    <w:p w14:paraId="1A8A72FE">
      <w:pPr>
        <w:pStyle w:val="43"/>
        <w:spacing w:before="156" w:after="156"/>
        <w:ind w:left="0"/>
      </w:pPr>
      <w:bookmarkStart w:id="87" w:name="_Toc375573714"/>
      <w:r>
        <w:rPr>
          <w:rFonts w:hint="eastAsia"/>
        </w:rPr>
        <w:t>粉状原料的上料、加料</w:t>
      </w:r>
      <w:r>
        <w:rPr>
          <w:rFonts w:hint="eastAsia"/>
          <w:highlight w:val="yellow"/>
        </w:rPr>
        <w:t>、包装</w:t>
      </w:r>
      <w:r>
        <w:rPr>
          <w:rFonts w:hint="eastAsia"/>
        </w:rPr>
        <w:t>处应设置除尘设施。</w:t>
      </w:r>
      <w:bookmarkEnd w:id="87"/>
    </w:p>
    <w:p w14:paraId="7AAC6962">
      <w:pPr>
        <w:pStyle w:val="43"/>
        <w:spacing w:before="156" w:after="156"/>
        <w:ind w:left="0"/>
      </w:pPr>
      <w:bookmarkStart w:id="88" w:name="_Toc375573715"/>
      <w:r>
        <w:rPr>
          <w:rFonts w:hint="eastAsia"/>
        </w:rPr>
        <w:t>可能</w:t>
      </w:r>
      <w:r>
        <w:t>有可燃</w:t>
      </w:r>
      <w:r>
        <w:rPr>
          <w:rFonts w:hint="eastAsia"/>
        </w:rPr>
        <w:t>、有毒</w:t>
      </w:r>
      <w:r>
        <w:t>气体泄露的封闭作业场所</w:t>
      </w:r>
      <w:r>
        <w:rPr>
          <w:rFonts w:hint="eastAsia"/>
        </w:rPr>
        <w:t>应</w:t>
      </w:r>
      <w:r>
        <w:t>设计良好的通风系统，设计必要的检测和自动报警装置</w:t>
      </w:r>
      <w:r>
        <w:rPr>
          <w:rFonts w:hint="eastAsia"/>
        </w:rPr>
        <w:t>，并与通风设施联锁</w:t>
      </w:r>
      <w:r>
        <w:t>。</w:t>
      </w:r>
      <w:bookmarkEnd w:id="88"/>
    </w:p>
    <w:p w14:paraId="7C40B891">
      <w:pPr>
        <w:pStyle w:val="43"/>
        <w:spacing w:before="156" w:after="156"/>
        <w:ind w:left="0"/>
        <w:rPr>
          <w:highlight w:val="yellow"/>
        </w:rPr>
      </w:pPr>
      <w:r>
        <w:rPr>
          <w:rFonts w:hint="eastAsia"/>
          <w:highlight w:val="yellow"/>
        </w:rPr>
        <w:t>严禁将可能发生化学反应并形成爆炸性混合物的气体混合排放。</w:t>
      </w:r>
    </w:p>
    <w:p w14:paraId="7B251BA1">
      <w:pPr>
        <w:pStyle w:val="43"/>
        <w:spacing w:before="156" w:after="156"/>
        <w:ind w:left="0"/>
        <w:rPr>
          <w:highlight w:val="yellow"/>
        </w:rPr>
      </w:pPr>
      <w:r>
        <w:rPr>
          <w:rFonts w:hint="eastAsia"/>
          <w:highlight w:val="yellow"/>
        </w:rPr>
        <w:t>采用焚烧处理含有机物的废气、废液的设施时，应设置安全系统，系统应包括检测、报警、应急等三部分。焚烧设施报警内容应包括：焚烧系统主要工况和运行参数偏离正常运行范围；电源故障；热工监控系统故障；有毒有害气体超标；主要辅助设施故障；辅助燃料供应系统故障。</w:t>
      </w:r>
      <w:bookmarkStart w:id="89" w:name="_Toc375573718"/>
    </w:p>
    <w:p w14:paraId="32F6E457">
      <w:pPr>
        <w:pStyle w:val="43"/>
        <w:spacing w:before="156" w:after="156"/>
        <w:ind w:left="0"/>
        <w:rPr>
          <w:highlight w:val="yellow"/>
        </w:rPr>
      </w:pPr>
      <w:r>
        <w:rPr>
          <w:rFonts w:hint="eastAsia"/>
          <w:highlight w:val="yellow"/>
        </w:rPr>
        <w:t>化学合成制药企业消防设施</w:t>
      </w:r>
      <w:r>
        <w:rPr>
          <w:highlight w:val="yellow"/>
        </w:rPr>
        <w:t>应符合GB</w:t>
      </w:r>
      <w:r>
        <w:rPr>
          <w:rFonts w:hint="eastAsia"/>
          <w:highlight w:val="yellow"/>
        </w:rPr>
        <w:t xml:space="preserve"> </w:t>
      </w:r>
      <w:r>
        <w:rPr>
          <w:highlight w:val="yellow"/>
        </w:rPr>
        <w:t>50</w:t>
      </w:r>
      <w:r>
        <w:rPr>
          <w:rFonts w:hint="eastAsia"/>
          <w:highlight w:val="yellow"/>
        </w:rPr>
        <w:t>1283和</w:t>
      </w:r>
      <w:r>
        <w:rPr>
          <w:highlight w:val="yellow"/>
        </w:rPr>
        <w:t>GB50974</w:t>
      </w:r>
      <w:r>
        <w:rPr>
          <w:rFonts w:hint="eastAsia"/>
          <w:highlight w:val="yellow"/>
        </w:rPr>
        <w:t>的有关</w:t>
      </w:r>
      <w:r>
        <w:rPr>
          <w:highlight w:val="yellow"/>
        </w:rPr>
        <w:t>规</w:t>
      </w:r>
      <w:r>
        <w:rPr>
          <w:rFonts w:hint="eastAsia"/>
          <w:highlight w:val="yellow"/>
        </w:rPr>
        <w:t>定</w:t>
      </w:r>
      <w:r>
        <w:rPr>
          <w:highlight w:val="yellow"/>
        </w:rPr>
        <w:t>。</w:t>
      </w:r>
      <w:bookmarkEnd w:id="89"/>
    </w:p>
    <w:p w14:paraId="24FAC2BF">
      <w:pPr>
        <w:pStyle w:val="39"/>
        <w:ind w:left="0"/>
        <w:rPr>
          <w:highlight w:val="yellow"/>
        </w:rPr>
      </w:pPr>
      <w:r>
        <w:rPr>
          <w:rFonts w:hint="eastAsia"/>
          <w:highlight w:val="yellow"/>
        </w:rPr>
        <w:t>生产设备设施</w:t>
      </w:r>
    </w:p>
    <w:p w14:paraId="59D2E9A0">
      <w:pPr>
        <w:pStyle w:val="43"/>
        <w:spacing w:before="156" w:after="156"/>
        <w:ind w:left="0"/>
        <w:rPr>
          <w:highlight w:val="yellow"/>
        </w:rPr>
      </w:pPr>
      <w:r>
        <w:rPr>
          <w:rFonts w:hint="eastAsia"/>
          <w:highlight w:val="yellow"/>
        </w:rPr>
        <w:t>工艺设备本体(不含衬里)及其基础，管道(不含衬里)及其支、吊架和基础，设备和管道的保温层应采用不燃材料。</w:t>
      </w:r>
    </w:p>
    <w:p w14:paraId="454D0148">
      <w:pPr>
        <w:pStyle w:val="43"/>
        <w:spacing w:before="156" w:after="156"/>
        <w:ind w:left="0"/>
      </w:pPr>
      <w:bookmarkStart w:id="90" w:name="_Toc375573713"/>
      <w:r>
        <w:rPr>
          <w:rFonts w:hint="eastAsia"/>
        </w:rPr>
        <w:t>设备紧急泄放的高毒、剧毒物质应引至安全地点，不应直接排入室内和大气。</w:t>
      </w:r>
      <w:bookmarkEnd w:id="90"/>
    </w:p>
    <w:p w14:paraId="52935924">
      <w:pPr>
        <w:pStyle w:val="43"/>
        <w:spacing w:before="156" w:after="156"/>
        <w:ind w:left="0"/>
      </w:pPr>
      <w:bookmarkStart w:id="91" w:name="_Toc375573720"/>
      <w:r>
        <w:t>明火设备应集中布置在装置的边缘，应远离可燃气体和易燃、易爆物质的生产设备及储</w:t>
      </w:r>
      <w:r>
        <w:rPr>
          <w:rFonts w:hint="eastAsia"/>
        </w:rPr>
        <w:t>罐</w:t>
      </w:r>
      <w:r>
        <w:t>，并应布置在这类设备的上风向。</w:t>
      </w:r>
      <w:bookmarkEnd w:id="91"/>
    </w:p>
    <w:p w14:paraId="64939D43">
      <w:pPr>
        <w:pStyle w:val="43"/>
        <w:spacing w:before="156" w:after="156"/>
        <w:ind w:left="0"/>
      </w:pPr>
      <w:bookmarkStart w:id="92" w:name="_Toc375573721"/>
      <w:r>
        <w:t>具有火灾</w:t>
      </w:r>
      <w:r>
        <w:rPr>
          <w:rFonts w:hint="eastAsia"/>
        </w:rPr>
        <w:t>、</w:t>
      </w:r>
      <w:r>
        <w:t>爆炸危险的工艺、储</w:t>
      </w:r>
      <w:r>
        <w:rPr>
          <w:rFonts w:hint="eastAsia"/>
        </w:rPr>
        <w:t>罐</w:t>
      </w:r>
      <w:r>
        <w:t>和管道</w:t>
      </w:r>
      <w:r>
        <w:rPr>
          <w:rFonts w:hint="eastAsia"/>
        </w:rPr>
        <w:t>，</w:t>
      </w:r>
      <w:r>
        <w:t>根据介质</w:t>
      </w:r>
      <w:r>
        <w:rPr>
          <w:rFonts w:hint="eastAsia"/>
        </w:rPr>
        <w:t>的</w:t>
      </w:r>
      <w:r>
        <w:t>特点，</w:t>
      </w:r>
      <w:r>
        <w:rPr>
          <w:rFonts w:hint="eastAsia"/>
        </w:rPr>
        <w:t>应</w:t>
      </w:r>
      <w:r>
        <w:t>选用</w:t>
      </w:r>
      <w:r>
        <w:rPr>
          <w:rFonts w:hint="eastAsia"/>
        </w:rPr>
        <w:t>惰性气体</w:t>
      </w:r>
      <w:r>
        <w:t>、蒸汽、水等介质置换</w:t>
      </w:r>
      <w:r>
        <w:rPr>
          <w:rFonts w:hint="eastAsia"/>
        </w:rPr>
        <w:t>或采取</w:t>
      </w:r>
      <w:r>
        <w:t>负压操作</w:t>
      </w:r>
      <w:r>
        <w:rPr>
          <w:rFonts w:hint="eastAsia"/>
        </w:rPr>
        <w:t>、</w:t>
      </w:r>
      <w:r>
        <w:t>密闭设备</w:t>
      </w:r>
      <w:r>
        <w:rPr>
          <w:rFonts w:hint="eastAsia"/>
        </w:rPr>
        <w:t>的安全措施</w:t>
      </w:r>
      <w:r>
        <w:t>。</w:t>
      </w:r>
      <w:bookmarkEnd w:id="92"/>
    </w:p>
    <w:p w14:paraId="587057FD">
      <w:pPr>
        <w:pStyle w:val="43"/>
        <w:spacing w:before="156" w:after="156"/>
        <w:ind w:left="0"/>
      </w:pPr>
      <w:bookmarkStart w:id="93" w:name="_Toc375573722"/>
      <w:r>
        <w:t>生产设备、管道的设计应根据生产过程的特点和物料的性质选择合适的材料。设备和管道的设计、制造、安装和试压等应符合国家标准和有关规范要求。</w:t>
      </w:r>
      <w:bookmarkEnd w:id="93"/>
    </w:p>
    <w:p w14:paraId="1537C724">
      <w:pPr>
        <w:pStyle w:val="43"/>
        <w:spacing w:before="156" w:after="156"/>
        <w:ind w:left="0"/>
      </w:pPr>
      <w:bookmarkStart w:id="94" w:name="_Toc375573723"/>
      <w:r>
        <w:t>具有火灾</w:t>
      </w:r>
      <w:r>
        <w:rPr>
          <w:rFonts w:hint="eastAsia"/>
        </w:rPr>
        <w:t>、</w:t>
      </w:r>
      <w:r>
        <w:t>爆炸危险的生产设备和管道应设置安全设施，如爆破膜、安全阀、爆破片等泄压系统</w:t>
      </w:r>
      <w:r>
        <w:rPr>
          <w:rFonts w:hint="eastAsia"/>
        </w:rPr>
        <w:t>，排放口应引至安全地点</w:t>
      </w:r>
      <w:r>
        <w:t>。设置多层防护安全装置，多层防护应考虑以下安全装置的组合：</w:t>
      </w:r>
      <w:bookmarkEnd w:id="94"/>
    </w:p>
    <w:p w14:paraId="346BE02B">
      <w:pPr>
        <w:pStyle w:val="23"/>
        <w:rPr>
          <w:rFonts w:ascii="黑体" w:eastAsia="黑体"/>
          <w:szCs w:val="21"/>
        </w:rPr>
      </w:pPr>
      <w:r>
        <w:rPr>
          <w:rFonts w:hint="eastAsia" w:ascii="黑体" w:eastAsia="黑体"/>
          <w:szCs w:val="21"/>
        </w:rPr>
        <w:t xml:space="preserve">1 </w:t>
      </w:r>
      <w:r>
        <w:rPr>
          <w:rFonts w:ascii="黑体" w:eastAsia="黑体"/>
          <w:szCs w:val="21"/>
        </w:rPr>
        <w:t>泄漏时的报警装置；</w:t>
      </w:r>
    </w:p>
    <w:p w14:paraId="2456ECB6">
      <w:pPr>
        <w:pStyle w:val="23"/>
        <w:rPr>
          <w:rFonts w:ascii="黑体" w:eastAsia="黑体"/>
          <w:szCs w:val="21"/>
        </w:rPr>
      </w:pPr>
      <w:r>
        <w:rPr>
          <w:rFonts w:hint="eastAsia" w:ascii="黑体" w:eastAsia="黑体"/>
          <w:szCs w:val="21"/>
        </w:rPr>
        <w:t xml:space="preserve">2 </w:t>
      </w:r>
      <w:r>
        <w:rPr>
          <w:rFonts w:ascii="黑体" w:eastAsia="黑体"/>
          <w:szCs w:val="21"/>
        </w:rPr>
        <w:t>自动泄压装置；</w:t>
      </w:r>
    </w:p>
    <w:p w14:paraId="105D7111">
      <w:pPr>
        <w:pStyle w:val="23"/>
        <w:rPr>
          <w:rFonts w:ascii="黑体" w:eastAsia="黑体"/>
          <w:szCs w:val="21"/>
        </w:rPr>
      </w:pPr>
      <w:r>
        <w:rPr>
          <w:rFonts w:hint="eastAsia" w:ascii="黑体" w:eastAsia="黑体"/>
          <w:szCs w:val="21"/>
        </w:rPr>
        <w:t xml:space="preserve">3 </w:t>
      </w:r>
      <w:r>
        <w:rPr>
          <w:rFonts w:ascii="黑体" w:eastAsia="黑体"/>
          <w:szCs w:val="21"/>
        </w:rPr>
        <w:t>紧急冷却装置；</w:t>
      </w:r>
    </w:p>
    <w:p w14:paraId="02C3DC1F">
      <w:pPr>
        <w:pStyle w:val="23"/>
        <w:rPr>
          <w:rFonts w:ascii="黑体" w:eastAsia="黑体"/>
          <w:szCs w:val="21"/>
        </w:rPr>
      </w:pPr>
      <w:r>
        <w:rPr>
          <w:rFonts w:hint="eastAsia" w:ascii="黑体" w:eastAsia="黑体"/>
          <w:szCs w:val="21"/>
        </w:rPr>
        <w:t xml:space="preserve">4 </w:t>
      </w:r>
      <w:r>
        <w:rPr>
          <w:rFonts w:ascii="黑体" w:eastAsia="黑体"/>
          <w:szCs w:val="21"/>
        </w:rPr>
        <w:t>抑制剂的自动加入装置</w:t>
      </w:r>
      <w:r>
        <w:rPr>
          <w:rFonts w:hint="eastAsia" w:ascii="黑体" w:eastAsia="黑体"/>
          <w:szCs w:val="21"/>
        </w:rPr>
        <w:t>；</w:t>
      </w:r>
    </w:p>
    <w:p w14:paraId="1585CE61">
      <w:pPr>
        <w:pStyle w:val="23"/>
        <w:rPr>
          <w:rFonts w:ascii="黑体" w:eastAsia="黑体"/>
          <w:szCs w:val="21"/>
        </w:rPr>
      </w:pPr>
      <w:r>
        <w:rPr>
          <w:rFonts w:hint="eastAsia" w:ascii="黑体" w:eastAsia="黑体"/>
          <w:szCs w:val="21"/>
        </w:rPr>
        <w:t>5 紧急切断装置</w:t>
      </w:r>
      <w:r>
        <w:rPr>
          <w:rFonts w:ascii="黑体" w:eastAsia="黑体"/>
          <w:szCs w:val="21"/>
        </w:rPr>
        <w:t>等。</w:t>
      </w:r>
    </w:p>
    <w:p w14:paraId="30E1A2B0">
      <w:pPr>
        <w:pStyle w:val="43"/>
        <w:spacing w:before="156" w:after="156"/>
        <w:ind w:left="0"/>
        <w:rPr>
          <w:highlight w:val="yellow"/>
        </w:rPr>
      </w:pPr>
      <w:bookmarkStart w:id="95" w:name="_Toc375573724"/>
      <w:r>
        <w:rPr>
          <w:rFonts w:hint="eastAsia"/>
          <w:highlight w:val="yellow"/>
        </w:rPr>
        <w:t>有可能被物料堵塞或腐蚀的安全阀，在安全阀前应设爆破片或在其出入口管道上采取吹扫、加热或保温等防堵措施。</w:t>
      </w:r>
    </w:p>
    <w:p w14:paraId="56093608">
      <w:pPr>
        <w:pStyle w:val="43"/>
        <w:spacing w:before="156" w:after="156"/>
        <w:ind w:left="0"/>
      </w:pPr>
      <w:r>
        <w:rPr>
          <w:rFonts w:hint="eastAsia"/>
        </w:rPr>
        <w:t>反应釜等</w:t>
      </w:r>
      <w:r>
        <w:rPr>
          <w:rFonts w:hint="eastAsia"/>
          <w:highlight w:val="yellow"/>
        </w:rPr>
        <w:t>设备</w:t>
      </w:r>
      <w:r>
        <w:rPr>
          <w:rFonts w:hint="eastAsia"/>
        </w:rPr>
        <w:t>冷却水出水温度和进、出水流量应有监测，并设置事故报警及紧急切断进料的联锁控制系统。若冷却水中断引起事故，供水系统应设两路独立电源供电，供水泵应设置备用水泵。</w:t>
      </w:r>
      <w:bookmarkEnd w:id="95"/>
    </w:p>
    <w:p w14:paraId="5D1CBE72">
      <w:pPr>
        <w:pStyle w:val="43"/>
        <w:spacing w:before="156" w:after="156"/>
        <w:ind w:left="0"/>
      </w:pPr>
      <w:bookmarkStart w:id="96" w:name="_Toc375573725"/>
      <w:r>
        <w:rPr>
          <w:rFonts w:hint="eastAsia"/>
        </w:rPr>
        <w:t>高毒、剧毒的反应釜的视镜宜加装视频监视器，将信号引至控制室，监视器应满足防火、防爆的要求。</w:t>
      </w:r>
      <w:bookmarkEnd w:id="96"/>
    </w:p>
    <w:p w14:paraId="6DA911B4">
      <w:pPr>
        <w:pStyle w:val="43"/>
        <w:spacing w:before="156" w:after="156"/>
        <w:ind w:left="0"/>
        <w:rPr>
          <w:highlight w:val="yellow"/>
        </w:rPr>
      </w:pPr>
      <w:r>
        <w:rPr>
          <w:rFonts w:hint="eastAsia"/>
          <w:highlight w:val="yellow"/>
        </w:rPr>
        <w:t>可燃气体压缩机、液化烃、可燃液体泵不得使用皮带传动；在爆炸危险区范围内的其他转动设备若必须使用皮带传动时，应采用防静电皮带。其他安全措施应符合</w:t>
      </w:r>
      <w:r>
        <w:rPr>
          <w:highlight w:val="yellow"/>
        </w:rPr>
        <w:t>GB5</w:t>
      </w:r>
      <w:r>
        <w:rPr>
          <w:rFonts w:hint="eastAsia"/>
          <w:highlight w:val="yellow"/>
        </w:rPr>
        <w:t>1283</w:t>
      </w:r>
      <w:r>
        <w:t>的有关规定。</w:t>
      </w:r>
    </w:p>
    <w:p w14:paraId="3A8CBCF8">
      <w:pPr>
        <w:pStyle w:val="43"/>
        <w:spacing w:before="156" w:after="156"/>
        <w:ind w:left="0"/>
      </w:pPr>
      <w:bookmarkStart w:id="97" w:name="_Toc375573716"/>
      <w:r>
        <w:t>凡在开停工、检修过程中，可能有可燃</w:t>
      </w:r>
      <w:r>
        <w:rPr>
          <w:rFonts w:hint="eastAsia"/>
        </w:rPr>
        <w:t>、有毒、</w:t>
      </w:r>
      <w:r>
        <w:t>腐蚀性液体泄漏、漫流的设备区周围应设置不低于150</w:t>
      </w:r>
      <w:r>
        <w:rPr>
          <w:rFonts w:hint="eastAsia"/>
        </w:rPr>
        <w:t xml:space="preserve"> </w:t>
      </w:r>
      <w:r>
        <w:t>mm的围堰和导液设施。</w:t>
      </w:r>
      <w:bookmarkEnd w:id="97"/>
    </w:p>
    <w:p w14:paraId="45E9E69D">
      <w:pPr>
        <w:pStyle w:val="43"/>
        <w:spacing w:before="156" w:after="156"/>
        <w:ind w:left="0"/>
        <w:rPr>
          <w:highlight w:val="yellow"/>
        </w:rPr>
      </w:pPr>
      <w:r>
        <w:rPr>
          <w:rFonts w:hint="eastAsia"/>
          <w:highlight w:val="yellow"/>
        </w:rPr>
        <w:t>甲、乙A类设备和管道应有惰性气体置换设施。</w:t>
      </w:r>
    </w:p>
    <w:p w14:paraId="7C394F3C">
      <w:pPr>
        <w:pStyle w:val="43"/>
        <w:spacing w:before="156" w:after="156"/>
        <w:ind w:left="0"/>
        <w:rPr>
          <w:highlight w:val="yellow"/>
        </w:rPr>
      </w:pPr>
      <w:r>
        <w:rPr>
          <w:rFonts w:hint="eastAsia"/>
          <w:highlight w:val="yellow"/>
        </w:rPr>
        <w:t>锅炉、压力容器、压力管道及起重机械等特种设备的设计、制造、安装、维修和检验，应按《特种设备安全监察条例》进行。</w:t>
      </w:r>
    </w:p>
    <w:p w14:paraId="77A47A55">
      <w:pPr>
        <w:pStyle w:val="42"/>
      </w:pPr>
      <w:bookmarkStart w:id="98" w:name="_Toc375573726"/>
      <w:bookmarkStart w:id="99" w:name="_Toc423007384"/>
      <w:bookmarkStart w:id="100" w:name="_Toc423007766"/>
      <w:r>
        <w:t>罐区及管线</w:t>
      </w:r>
      <w:bookmarkEnd w:id="98"/>
      <w:bookmarkEnd w:id="99"/>
      <w:bookmarkEnd w:id="100"/>
    </w:p>
    <w:p w14:paraId="5F4606B3">
      <w:pPr>
        <w:pStyle w:val="39"/>
      </w:pPr>
      <w:bookmarkStart w:id="101" w:name="_Toc375573531"/>
      <w:bookmarkStart w:id="102" w:name="_Toc375573727"/>
      <w:r>
        <w:t>罐区</w:t>
      </w:r>
      <w:bookmarkEnd w:id="101"/>
      <w:bookmarkEnd w:id="102"/>
    </w:p>
    <w:p w14:paraId="63A3AB11">
      <w:pPr>
        <w:pStyle w:val="43"/>
        <w:spacing w:before="156" w:after="156"/>
        <w:ind w:left="0"/>
        <w:rPr>
          <w:highlight w:val="yellow"/>
        </w:rPr>
      </w:pPr>
      <w:bookmarkStart w:id="103" w:name="_Toc375573728"/>
      <w:r>
        <w:rPr>
          <w:rFonts w:hint="eastAsia"/>
          <w:highlight w:val="yellow"/>
        </w:rPr>
        <w:t>可燃气体、助燃气体,液化烃和可燃液体储罐的选型、基础、体外保温层的设计，应符合现行国家标准GB50914和GB 50160的规定。</w:t>
      </w:r>
    </w:p>
    <w:p w14:paraId="2017611F">
      <w:pPr>
        <w:pStyle w:val="43"/>
        <w:spacing w:before="156" w:after="156"/>
        <w:ind w:left="0"/>
        <w:rPr>
          <w:highlight w:val="yellow"/>
        </w:rPr>
      </w:pPr>
      <w:r>
        <w:rPr>
          <w:rFonts w:hint="eastAsia"/>
          <w:highlight w:val="yellow"/>
        </w:rPr>
        <w:t xml:space="preserve">罐组应成组布置。同一防火堤内的地上油罐布置应符合下列规定： </w:t>
      </w:r>
    </w:p>
    <w:p w14:paraId="6D81D66C">
      <w:pPr>
        <w:pStyle w:val="23"/>
        <w:rPr>
          <w:rFonts w:ascii="黑体" w:eastAsia="黑体"/>
          <w:szCs w:val="21"/>
          <w:highlight w:val="yellow"/>
        </w:rPr>
      </w:pPr>
      <w:r>
        <w:rPr>
          <w:rFonts w:hint="eastAsia" w:ascii="黑体" w:eastAsia="黑体"/>
          <w:szCs w:val="21"/>
          <w:highlight w:val="yellow"/>
        </w:rPr>
        <w:t>1 在同一防火堤内，宜布置火灾危险性类别相同或相近的油品储罐（甲B类、乙类和丙A类油品储罐可布置在同一防火堤内，但不宜与丙B类油品储罐布置在同一防火堤内），当单罐容积小于或等于1000m</w:t>
      </w:r>
      <w:r>
        <w:rPr>
          <w:rFonts w:hint="eastAsia" w:ascii="黑体" w:eastAsia="黑体"/>
          <w:szCs w:val="21"/>
          <w:highlight w:val="yellow"/>
          <w:vertAlign w:val="superscript"/>
        </w:rPr>
        <w:t>3</w:t>
      </w:r>
      <w:r>
        <w:rPr>
          <w:rFonts w:hint="eastAsia" w:ascii="黑体" w:eastAsia="黑体"/>
          <w:szCs w:val="21"/>
          <w:highlight w:val="yellow"/>
        </w:rPr>
        <w:t>时，火灾危险性类别不同的常压储罐也可布置在同一防火堤内，但应设置隔堤分开；</w:t>
      </w:r>
    </w:p>
    <w:p w14:paraId="74901BEC">
      <w:pPr>
        <w:pStyle w:val="23"/>
        <w:rPr>
          <w:rFonts w:ascii="黑体" w:eastAsia="黑体"/>
          <w:szCs w:val="21"/>
          <w:highlight w:val="yellow"/>
        </w:rPr>
      </w:pPr>
      <w:r>
        <w:rPr>
          <w:rFonts w:hint="eastAsia" w:ascii="黑体" w:eastAsia="黑体"/>
          <w:szCs w:val="21"/>
          <w:highlight w:val="yellow"/>
        </w:rPr>
        <w:t>2 沸溢性的油品储罐不应与非沸溢性油品储罐布置在同一防火堤内，单独成组布置的泄压罐除外；</w:t>
      </w:r>
    </w:p>
    <w:p w14:paraId="6BCDDB1B">
      <w:pPr>
        <w:pStyle w:val="23"/>
        <w:rPr>
          <w:rFonts w:ascii="黑体" w:eastAsia="黑体"/>
          <w:szCs w:val="21"/>
          <w:highlight w:val="yellow"/>
        </w:rPr>
      </w:pPr>
      <w:r>
        <w:rPr>
          <w:rFonts w:hint="eastAsia" w:ascii="黑体" w:eastAsia="黑体"/>
          <w:szCs w:val="21"/>
          <w:highlight w:val="yellow"/>
        </w:rPr>
        <w:t>3 常压油品储罐不应与液化石油气、液化天然气、天然气凝液储罐布置在同一防火堤内；</w:t>
      </w:r>
    </w:p>
    <w:p w14:paraId="5645EDAD">
      <w:pPr>
        <w:pStyle w:val="23"/>
        <w:rPr>
          <w:rFonts w:ascii="黑体" w:eastAsia="黑体"/>
          <w:szCs w:val="21"/>
          <w:highlight w:val="yellow"/>
        </w:rPr>
      </w:pPr>
      <w:r>
        <w:rPr>
          <w:rFonts w:hint="eastAsia" w:ascii="黑体" w:eastAsia="黑体"/>
          <w:szCs w:val="21"/>
          <w:highlight w:val="yellow"/>
        </w:rPr>
        <w:t>4 可燃液体的压力储罐可与液化烃的全压力储罐布置在同一防火堤内；</w:t>
      </w:r>
    </w:p>
    <w:p w14:paraId="536A40B1">
      <w:pPr>
        <w:pStyle w:val="23"/>
        <w:rPr>
          <w:rFonts w:ascii="黑体" w:eastAsia="黑体"/>
          <w:szCs w:val="21"/>
          <w:highlight w:val="yellow"/>
        </w:rPr>
      </w:pPr>
      <w:r>
        <w:rPr>
          <w:rFonts w:hint="eastAsia" w:ascii="黑体" w:eastAsia="黑体"/>
          <w:szCs w:val="21"/>
          <w:highlight w:val="yellow"/>
        </w:rPr>
        <w:t>5 可燃液体的低压储罐可与常压储罐布置在同一防火堤内；</w:t>
      </w:r>
    </w:p>
    <w:p w14:paraId="3BA9D3AB">
      <w:pPr>
        <w:pStyle w:val="23"/>
        <w:rPr>
          <w:rFonts w:ascii="黑体" w:eastAsia="黑体"/>
          <w:szCs w:val="21"/>
          <w:highlight w:val="yellow"/>
        </w:rPr>
      </w:pPr>
      <w:r>
        <w:rPr>
          <w:rFonts w:hint="eastAsia" w:ascii="黑体" w:eastAsia="黑体"/>
          <w:szCs w:val="21"/>
          <w:highlight w:val="yellow"/>
        </w:rPr>
        <w:t>6 地上立式油罐、高位罐、卧式罐不宜布置在同一防火堤内；</w:t>
      </w:r>
    </w:p>
    <w:p w14:paraId="763502EB">
      <w:pPr>
        <w:pStyle w:val="23"/>
        <w:rPr>
          <w:rFonts w:ascii="黑体" w:eastAsia="黑体"/>
          <w:szCs w:val="21"/>
        </w:rPr>
      </w:pPr>
      <w:r>
        <w:rPr>
          <w:rFonts w:hint="eastAsia" w:ascii="黑体" w:eastAsia="黑体"/>
          <w:szCs w:val="21"/>
          <w:highlight w:val="yellow"/>
        </w:rPr>
        <w:t>7 储存I级和Ⅱ级毒性液体的储罐不应与其他易燃和可燃液体储罐布置在同一防火堤内。</w:t>
      </w:r>
    </w:p>
    <w:p w14:paraId="2084C35B">
      <w:pPr>
        <w:pStyle w:val="43"/>
        <w:spacing w:before="156" w:after="156"/>
        <w:ind w:left="0"/>
      </w:pPr>
      <w:r>
        <w:t>储罐的布置及罐组内相邻储罐的防火间距应符合GB</w:t>
      </w:r>
      <w:r>
        <w:rPr>
          <w:rFonts w:hint="eastAsia"/>
        </w:rPr>
        <w:t xml:space="preserve"> </w:t>
      </w:r>
      <w:r>
        <w:rPr>
          <w:highlight w:val="yellow"/>
        </w:rPr>
        <w:t>5</w:t>
      </w:r>
      <w:r>
        <w:rPr>
          <w:rFonts w:hint="eastAsia"/>
          <w:highlight w:val="yellow"/>
        </w:rPr>
        <w:t>1283</w:t>
      </w:r>
      <w:r>
        <w:t>的有关规定。</w:t>
      </w:r>
      <w:bookmarkEnd w:id="103"/>
    </w:p>
    <w:p w14:paraId="46B9E7FE">
      <w:pPr>
        <w:pStyle w:val="43"/>
        <w:spacing w:before="156" w:after="156"/>
        <w:ind w:left="0"/>
      </w:pPr>
      <w:bookmarkStart w:id="104" w:name="_Toc375573729"/>
      <w:r>
        <w:t>设有蒸汽加热器的储罐，应采取防止液体超温的措施。</w:t>
      </w:r>
      <w:bookmarkEnd w:id="104"/>
    </w:p>
    <w:p w14:paraId="64EB1C95">
      <w:pPr>
        <w:pStyle w:val="43"/>
        <w:spacing w:before="156" w:after="156"/>
        <w:ind w:left="0"/>
      </w:pPr>
      <w:bookmarkStart w:id="105" w:name="_Toc375573730"/>
      <w:r>
        <w:t>储存甲</w:t>
      </w:r>
      <w:r>
        <w:rPr>
          <w:vertAlign w:val="subscript"/>
        </w:rPr>
        <w:t>B</w:t>
      </w:r>
      <w:r>
        <w:t>、乙</w:t>
      </w:r>
      <w:r>
        <w:rPr>
          <w:vertAlign w:val="subscript"/>
        </w:rPr>
        <w:t>A</w:t>
      </w:r>
      <w:r>
        <w:t>类的可燃液体应选用金属浮舱式的浮顶或内浮顶罐。对于有特殊要求的物料(如易自聚、剧毒等)，可采用固定顶储罐加氮封。</w:t>
      </w:r>
      <w:bookmarkEnd w:id="105"/>
    </w:p>
    <w:p w14:paraId="095D6536">
      <w:pPr>
        <w:pStyle w:val="43"/>
        <w:spacing w:before="156" w:after="156"/>
        <w:ind w:left="0"/>
      </w:pPr>
      <w:bookmarkStart w:id="106" w:name="_Toc375573731"/>
      <w:r>
        <w:t>甲</w:t>
      </w:r>
      <w:r>
        <w:rPr>
          <w:vertAlign w:val="subscript"/>
        </w:rPr>
        <w:t>B</w:t>
      </w:r>
      <w:r>
        <w:t>类可燃液体固定顶罐或低压储罐应采取减少日晒升温的措施。</w:t>
      </w:r>
      <w:bookmarkEnd w:id="106"/>
    </w:p>
    <w:p w14:paraId="052AC12F">
      <w:pPr>
        <w:pStyle w:val="43"/>
        <w:spacing w:before="156" w:after="156"/>
        <w:ind w:left="0"/>
      </w:pPr>
      <w:bookmarkStart w:id="107" w:name="_Toc375573732"/>
      <w:r>
        <w:t>储罐的进料管应从罐体下部接入；若从上部接入，</w:t>
      </w:r>
      <w:r>
        <w:rPr>
          <w:rFonts w:hint="eastAsia"/>
        </w:rPr>
        <w:t>宜</w:t>
      </w:r>
      <w:r>
        <w:t>延伸至距罐底200</w:t>
      </w:r>
      <w:r>
        <w:rPr>
          <w:rFonts w:hint="eastAsia"/>
        </w:rPr>
        <w:t xml:space="preserve"> </w:t>
      </w:r>
      <w:r>
        <w:t>mm处。</w:t>
      </w:r>
      <w:bookmarkEnd w:id="107"/>
    </w:p>
    <w:p w14:paraId="03798174">
      <w:pPr>
        <w:pStyle w:val="43"/>
        <w:spacing w:before="156" w:after="156"/>
        <w:ind w:left="0"/>
      </w:pPr>
      <w:bookmarkStart w:id="108" w:name="_Toc375573733"/>
      <w:r>
        <w:t>甲、乙、丙类可燃液体的储罐，应设液位计和高</w:t>
      </w:r>
      <w:r>
        <w:rPr>
          <w:rFonts w:hint="eastAsia"/>
        </w:rPr>
        <w:t>、低液</w:t>
      </w:r>
      <w:r>
        <w:t>位报警器，必要时可设自动联锁切断进液装置。</w:t>
      </w:r>
      <w:bookmarkEnd w:id="108"/>
    </w:p>
    <w:p w14:paraId="0BC2B008">
      <w:pPr>
        <w:pStyle w:val="43"/>
        <w:spacing w:before="156" w:after="156"/>
        <w:ind w:left="0"/>
      </w:pPr>
      <w:bookmarkStart w:id="109" w:name="_Toc375573736"/>
      <w:r>
        <w:t>储罐组应设防火堤，防火堤的设置、堤内储罐的布置</w:t>
      </w:r>
      <w:r>
        <w:rPr>
          <w:highlight w:val="yellow"/>
        </w:rPr>
        <w:t>应符合GB 50351</w:t>
      </w:r>
      <w:r>
        <w:t>的有关规定。</w:t>
      </w:r>
      <w:bookmarkEnd w:id="109"/>
    </w:p>
    <w:p w14:paraId="551ADD5A">
      <w:pPr>
        <w:pStyle w:val="39"/>
      </w:pPr>
      <w:bookmarkStart w:id="110" w:name="_Toc375573532"/>
      <w:bookmarkStart w:id="111" w:name="_Toc375573737"/>
      <w:r>
        <w:t>管线</w:t>
      </w:r>
      <w:bookmarkEnd w:id="110"/>
      <w:bookmarkEnd w:id="111"/>
    </w:p>
    <w:p w14:paraId="3CC35499">
      <w:pPr>
        <w:pStyle w:val="43"/>
        <w:spacing w:before="156" w:after="156"/>
        <w:ind w:left="0"/>
        <w:rPr>
          <w:highlight w:val="yellow"/>
        </w:rPr>
      </w:pPr>
      <w:bookmarkStart w:id="112" w:name="_Toc375573738"/>
      <w:r>
        <w:rPr>
          <w:rFonts w:hint="eastAsia"/>
          <w:highlight w:val="yellow"/>
        </w:rPr>
        <w:t>危险和有害液体、气体管线，不应穿过与其无关的生产车间、仓库等区域，其地下管线上不应修建建（构）筑物，且不应种植深根植物。</w:t>
      </w:r>
    </w:p>
    <w:p w14:paraId="1AA73ABD">
      <w:pPr>
        <w:pStyle w:val="43"/>
        <w:spacing w:before="156" w:after="156"/>
        <w:ind w:left="0"/>
      </w:pPr>
      <w:r>
        <w:t>全厂性工艺及热力管道宜地上敷设；沿地面或低支架敷设的管道不应环绕工艺装置或罐组布置，并不应妨碍消防车的通行。</w:t>
      </w:r>
      <w:bookmarkEnd w:id="112"/>
    </w:p>
    <w:p w14:paraId="4C32F965">
      <w:pPr>
        <w:pStyle w:val="43"/>
        <w:spacing w:before="156" w:after="156"/>
        <w:ind w:left="0"/>
      </w:pPr>
      <w:bookmarkStart w:id="113" w:name="_Toc375573739"/>
      <w:r>
        <w:t>腐蚀性介质的管道，应敷设在管线带的下部。蒸汽管道与易燃物质管道同向架设时，蒸汽管应架设在上方。</w:t>
      </w:r>
      <w:bookmarkEnd w:id="113"/>
    </w:p>
    <w:p w14:paraId="6608E21D">
      <w:pPr>
        <w:pStyle w:val="43"/>
        <w:spacing w:before="156" w:after="156"/>
        <w:ind w:left="0"/>
      </w:pPr>
      <w:bookmarkStart w:id="114" w:name="_Toc375573740"/>
      <w:r>
        <w:t>可燃气体和可燃液体的管道应架空或沿地敷设。</w:t>
      </w:r>
      <w:bookmarkEnd w:id="114"/>
    </w:p>
    <w:p w14:paraId="6382288D">
      <w:pPr>
        <w:pStyle w:val="43"/>
        <w:spacing w:before="156" w:after="156"/>
        <w:ind w:left="0"/>
      </w:pPr>
      <w:bookmarkStart w:id="115" w:name="_Toc375573741"/>
      <w:r>
        <w:t>输送易凝可燃液体的管道及阀门均应保温，必要时设伴热设施。</w:t>
      </w:r>
      <w:bookmarkEnd w:id="115"/>
    </w:p>
    <w:p w14:paraId="63233E99">
      <w:pPr>
        <w:pStyle w:val="43"/>
        <w:spacing w:before="156" w:after="156"/>
        <w:ind w:left="0"/>
      </w:pPr>
      <w:bookmarkStart w:id="116" w:name="_Toc375573742"/>
      <w:r>
        <w:t>水、蒸汽、空气等辅助管线与甲、乙、丙类液体或有毒液体、可燃气体的设备、机械、管线连接时，若有发生倒流的可能，则辅助管线上应有可靠的隔断装置。</w:t>
      </w:r>
      <w:bookmarkEnd w:id="116"/>
    </w:p>
    <w:p w14:paraId="1FF561FB">
      <w:pPr>
        <w:pStyle w:val="43"/>
        <w:spacing w:before="156" w:after="156"/>
        <w:ind w:left="0"/>
      </w:pPr>
      <w:bookmarkStart w:id="117" w:name="_Toc375573743"/>
      <w:r>
        <w:t>酸、碱、有毒物质等液体管道的法兰应加保护罩，法兰位置宜避开经常有人操作的地方。</w:t>
      </w:r>
      <w:bookmarkEnd w:id="117"/>
    </w:p>
    <w:p w14:paraId="24DE09CC">
      <w:pPr>
        <w:pStyle w:val="43"/>
        <w:spacing w:before="156" w:after="156"/>
        <w:ind w:left="0"/>
      </w:pPr>
      <w:bookmarkStart w:id="118" w:name="_Toc375573744"/>
      <w:r>
        <w:t>罐组内的生产污水管道应有独立的排出口，且应在防火堤外设置水封，并应在防火堤与水封之间的管道上设置易开关的隔断阀。</w:t>
      </w:r>
      <w:bookmarkEnd w:id="118"/>
    </w:p>
    <w:p w14:paraId="79B07367">
      <w:pPr>
        <w:pStyle w:val="43"/>
        <w:spacing w:before="156" w:after="156"/>
        <w:ind w:left="0"/>
      </w:pPr>
      <w:bookmarkStart w:id="119" w:name="_Toc375573745"/>
      <w:r>
        <w:t>对于剧毒、高毒及有爆炸危险性</w:t>
      </w:r>
      <w:r>
        <w:rPr>
          <w:rFonts w:hint="eastAsia"/>
        </w:rPr>
        <w:t>的</w:t>
      </w:r>
      <w:r>
        <w:t>管道，应考虑焊接，少用或不用法兰连接。当需用法兰连接时，其公称压力应不低于相关要求。</w:t>
      </w:r>
      <w:bookmarkEnd w:id="119"/>
    </w:p>
    <w:p w14:paraId="7588BEBE">
      <w:pPr>
        <w:pStyle w:val="43"/>
        <w:spacing w:before="156" w:after="156"/>
        <w:ind w:left="0"/>
        <w:rPr>
          <w:highlight w:val="yellow"/>
        </w:rPr>
      </w:pPr>
      <w:r>
        <w:rPr>
          <w:rFonts w:hint="eastAsia"/>
          <w:highlight w:val="yellow"/>
        </w:rPr>
        <w:t>连续操作的可燃气体管道的低点应设两道排液阀，排出的液体应排放至密闭系统；仅在开停工时使用的排液阀，可设一道阀门，并加丝堵、管帽、盲板或法兰盖。</w:t>
      </w:r>
    </w:p>
    <w:p w14:paraId="5211373B">
      <w:pPr>
        <w:pStyle w:val="43"/>
        <w:spacing w:before="156" w:after="156"/>
        <w:ind w:left="0"/>
        <w:rPr>
          <w:highlight w:val="yellow"/>
        </w:rPr>
      </w:pPr>
      <w:r>
        <w:rPr>
          <w:rFonts w:hint="eastAsia"/>
          <w:highlight w:val="yellow"/>
        </w:rPr>
        <w:t>液化烃、液氯、液氨管道不得采用软管连接，可燃液体管道不得采用非金属软管连接。</w:t>
      </w:r>
    </w:p>
    <w:p w14:paraId="79CF377C">
      <w:pPr>
        <w:pStyle w:val="42"/>
      </w:pPr>
      <w:bookmarkStart w:id="120" w:name="_Toc375573746"/>
      <w:bookmarkStart w:id="121" w:name="_Toc423007385"/>
      <w:bookmarkStart w:id="122" w:name="_Toc423007767"/>
      <w:r>
        <w:t>电气设施</w:t>
      </w:r>
      <w:bookmarkEnd w:id="120"/>
      <w:bookmarkEnd w:id="121"/>
      <w:bookmarkEnd w:id="122"/>
    </w:p>
    <w:p w14:paraId="69FDE360">
      <w:pPr>
        <w:pStyle w:val="39"/>
      </w:pPr>
      <w:bookmarkStart w:id="123" w:name="_Toc375573533"/>
      <w:bookmarkStart w:id="124" w:name="_Toc375573747"/>
      <w:r>
        <w:t>防火防爆</w:t>
      </w:r>
      <w:bookmarkEnd w:id="123"/>
      <w:bookmarkEnd w:id="124"/>
    </w:p>
    <w:p w14:paraId="4BE8A01A">
      <w:pPr>
        <w:pStyle w:val="43"/>
        <w:spacing w:before="156" w:after="156"/>
        <w:ind w:left="0"/>
      </w:pPr>
      <w:bookmarkStart w:id="125" w:name="_Toc375573748"/>
      <w:r>
        <w:t>企业爆炸危险环境区域的划分，应符合GB</w:t>
      </w:r>
      <w:r>
        <w:rPr>
          <w:rFonts w:hint="eastAsia"/>
        </w:rPr>
        <w:t xml:space="preserve"> </w:t>
      </w:r>
      <w:r>
        <w:t>50058的有关规定。爆炸危险环境区域划分应根据释放源的种类和性质确定。</w:t>
      </w:r>
      <w:bookmarkEnd w:id="125"/>
    </w:p>
    <w:p w14:paraId="4402B4F2">
      <w:pPr>
        <w:pStyle w:val="43"/>
        <w:spacing w:before="156" w:after="156"/>
        <w:ind w:left="0"/>
      </w:pPr>
      <w:bookmarkStart w:id="126" w:name="_Toc375573749"/>
      <w:r>
        <w:t>爆炸危险场所电气设备</w:t>
      </w:r>
      <w:r>
        <w:rPr>
          <w:rFonts w:hint="eastAsia"/>
          <w:highlight w:val="yellow"/>
        </w:rPr>
        <w:t>、仪表</w:t>
      </w:r>
      <w:r>
        <w:t>选型和线路的设计、安装、施工、运行和维修，应符合GB</w:t>
      </w:r>
      <w:r>
        <w:rPr>
          <w:rFonts w:hint="eastAsia"/>
        </w:rPr>
        <w:t xml:space="preserve"> </w:t>
      </w:r>
      <w:r>
        <w:t>50058的有关规定。</w:t>
      </w:r>
      <w:bookmarkEnd w:id="126"/>
    </w:p>
    <w:p w14:paraId="1F3D2A69">
      <w:pPr>
        <w:pStyle w:val="43"/>
        <w:spacing w:before="156" w:after="156"/>
        <w:ind w:left="0"/>
      </w:pPr>
      <w:bookmarkStart w:id="127" w:name="_Toc375573750"/>
      <w:r>
        <w:t>火灾、爆炸危险场所不宜采用电缆沟配线；若需设电缆沟，则应采取防止可燃气体、易燃可燃液体或酸、碱等物质进入电缆沟的措施。</w:t>
      </w:r>
      <w:bookmarkEnd w:id="127"/>
    </w:p>
    <w:p w14:paraId="40C4821C">
      <w:pPr>
        <w:pStyle w:val="43"/>
        <w:spacing w:before="156" w:after="156"/>
        <w:ind w:left="0"/>
      </w:pPr>
      <w:bookmarkStart w:id="128" w:name="_Toc375573752"/>
      <w:r>
        <w:t>对易受外部影响着火的电缆密集场所或可能着火蔓延而酿成事故的电缆回路，</w:t>
      </w:r>
      <w:r>
        <w:rPr>
          <w:rFonts w:hint="eastAsia"/>
        </w:rPr>
        <w:t>应</w:t>
      </w:r>
      <w:r>
        <w:t>采取以下防火阻燃措施：</w:t>
      </w:r>
    </w:p>
    <w:bookmarkEnd w:id="128"/>
    <w:p w14:paraId="5F76D49C">
      <w:pPr>
        <w:pStyle w:val="23"/>
        <w:rPr>
          <w:rFonts w:ascii="黑体" w:eastAsia="黑体"/>
          <w:szCs w:val="21"/>
        </w:rPr>
      </w:pPr>
      <w:r>
        <w:rPr>
          <w:rFonts w:hint="eastAsia" w:ascii="黑体" w:eastAsia="黑体"/>
          <w:szCs w:val="21"/>
        </w:rPr>
        <w:t xml:space="preserve">1 </w:t>
      </w:r>
      <w:r>
        <w:rPr>
          <w:rFonts w:ascii="黑体" w:eastAsia="黑体"/>
          <w:szCs w:val="21"/>
        </w:rPr>
        <w:t>电缆穿过竖井、墙壁、楼板或进入电气盘、柜的孔洞处，用防火堵料密实封堵；</w:t>
      </w:r>
    </w:p>
    <w:p w14:paraId="03040E1A">
      <w:pPr>
        <w:pStyle w:val="23"/>
        <w:rPr>
          <w:rFonts w:ascii="黑体" w:eastAsia="黑体"/>
          <w:szCs w:val="21"/>
        </w:rPr>
      </w:pPr>
      <w:r>
        <w:rPr>
          <w:rFonts w:hint="eastAsia" w:ascii="黑体" w:eastAsia="黑体"/>
          <w:szCs w:val="21"/>
        </w:rPr>
        <w:t xml:space="preserve">2 </w:t>
      </w:r>
      <w:r>
        <w:rPr>
          <w:rFonts w:ascii="黑体" w:eastAsia="黑体"/>
          <w:szCs w:val="21"/>
        </w:rPr>
        <w:t>在重要的电缆沟和隧道中，按要求分段或用软质耐火材料设置阻火墙；</w:t>
      </w:r>
    </w:p>
    <w:p w14:paraId="754E8FD9">
      <w:pPr>
        <w:pStyle w:val="23"/>
        <w:rPr>
          <w:rFonts w:ascii="黑体" w:eastAsia="黑体"/>
          <w:szCs w:val="21"/>
        </w:rPr>
      </w:pPr>
      <w:r>
        <w:rPr>
          <w:rFonts w:hint="eastAsia" w:ascii="黑体" w:eastAsia="黑体"/>
          <w:szCs w:val="21"/>
        </w:rPr>
        <w:t>3 在电力电缆接头两侧及相邻电缆2～3m长的区段施加防火涂料或防火包带。</w:t>
      </w:r>
    </w:p>
    <w:p w14:paraId="0557A772">
      <w:pPr>
        <w:pStyle w:val="43"/>
        <w:spacing w:before="156" w:after="156"/>
        <w:ind w:left="0"/>
      </w:pPr>
      <w:bookmarkStart w:id="129" w:name="_Toc375573753"/>
      <w:r>
        <w:t>火灾、爆炸危险场所内的检修电源应满足环境中危险介质的防爆要求。</w:t>
      </w:r>
      <w:bookmarkEnd w:id="129"/>
    </w:p>
    <w:p w14:paraId="216E63CD">
      <w:pPr>
        <w:pStyle w:val="43"/>
        <w:spacing w:before="156" w:after="156"/>
        <w:ind w:left="0"/>
      </w:pPr>
      <w:bookmarkStart w:id="130" w:name="_Toc375573754"/>
      <w:r>
        <w:t>在爆炸性气体环境1区内应采用铜芯电缆；在爆炸性气体环境2区内宜采用铜芯电缆，当采用铝芯电缆时，与电气设备的连接应有可靠的铜-铝过渡接头等措施。所有导线和电缆，五年内至少做一次绝缘试验。</w:t>
      </w:r>
      <w:bookmarkEnd w:id="130"/>
    </w:p>
    <w:p w14:paraId="21E959DD">
      <w:pPr>
        <w:pStyle w:val="43"/>
        <w:spacing w:before="156" w:after="156"/>
        <w:ind w:left="0"/>
      </w:pPr>
      <w:bookmarkStart w:id="131" w:name="_Toc375573755"/>
      <w:r>
        <w:t>厂房、</w:t>
      </w:r>
      <w:r>
        <w:rPr>
          <w:rFonts w:hint="eastAsia"/>
        </w:rPr>
        <w:t>仓</w:t>
      </w:r>
      <w:r>
        <w:t>库、工艺装置区以及罐区等易燃易爆的场所的可燃气体和有毒气体</w:t>
      </w:r>
      <w:r>
        <w:rPr>
          <w:rFonts w:hint="eastAsia"/>
        </w:rPr>
        <w:t>检测</w:t>
      </w:r>
      <w:r>
        <w:t>报警</w:t>
      </w:r>
      <w:r>
        <w:rPr>
          <w:rFonts w:hint="eastAsia"/>
          <w:highlight w:val="yellow"/>
        </w:rPr>
        <w:t>的检测点确定、系统设计、安装设计</w:t>
      </w:r>
      <w:r>
        <w:t>应符合</w:t>
      </w:r>
      <w:r>
        <w:rPr>
          <w:highlight w:val="yellow"/>
        </w:rPr>
        <w:t>GB</w:t>
      </w:r>
      <w:r>
        <w:rPr>
          <w:rFonts w:hint="eastAsia"/>
          <w:highlight w:val="yellow"/>
        </w:rPr>
        <w:t>/T</w:t>
      </w:r>
      <w:r>
        <w:rPr>
          <w:highlight w:val="yellow"/>
        </w:rPr>
        <w:t>50493</w:t>
      </w:r>
      <w:r>
        <w:t>的有关规定。</w:t>
      </w:r>
      <w:bookmarkEnd w:id="131"/>
    </w:p>
    <w:p w14:paraId="2E3FDAD7">
      <w:pPr>
        <w:pStyle w:val="43"/>
        <w:spacing w:before="156" w:after="156"/>
        <w:ind w:left="0"/>
        <w:rPr>
          <w:highlight w:val="yellow"/>
        </w:rPr>
      </w:pPr>
      <w:r>
        <w:rPr>
          <w:rFonts w:hint="eastAsia"/>
          <w:highlight w:val="yellow"/>
        </w:rPr>
        <w:t>防爆电气设备应委托具有防爆专业资质的安全生产检测检验机构进行定期检查，时间间隔一般不超过3年。</w:t>
      </w:r>
    </w:p>
    <w:p w14:paraId="264EC7F0">
      <w:pPr>
        <w:pStyle w:val="39"/>
      </w:pPr>
      <w:bookmarkStart w:id="132" w:name="_Toc375573534"/>
      <w:bookmarkStart w:id="133" w:name="_Toc375573756"/>
      <w:r>
        <w:t>防雷</w:t>
      </w:r>
      <w:bookmarkEnd w:id="132"/>
      <w:bookmarkEnd w:id="133"/>
    </w:p>
    <w:p w14:paraId="214BE440">
      <w:pPr>
        <w:pStyle w:val="43"/>
        <w:spacing w:before="156" w:after="156"/>
        <w:ind w:left="0"/>
      </w:pPr>
      <w:bookmarkStart w:id="134" w:name="_Toc375573757"/>
      <w:r>
        <w:t>建(构)筑物的防雷分类及防雷措施、接地电阻应符合GB</w:t>
      </w:r>
      <w:r>
        <w:rPr>
          <w:rFonts w:hint="eastAsia"/>
        </w:rPr>
        <w:t xml:space="preserve"> </w:t>
      </w:r>
      <w:r>
        <w:t>50057的有关规定</w:t>
      </w:r>
      <w:r>
        <w:rPr>
          <w:rFonts w:hint="eastAsia"/>
          <w:highlight w:val="yellow"/>
        </w:rPr>
        <w:t>，并应定期检测</w:t>
      </w:r>
      <w:r>
        <w:rPr>
          <w:rFonts w:hint="eastAsia"/>
        </w:rPr>
        <w:t>。</w:t>
      </w:r>
      <w:bookmarkEnd w:id="134"/>
    </w:p>
    <w:p w14:paraId="26DEEED2">
      <w:pPr>
        <w:pStyle w:val="43"/>
        <w:spacing w:before="156" w:after="156"/>
        <w:ind w:left="0"/>
      </w:pPr>
      <w:bookmarkStart w:id="135" w:name="_Toc375573758"/>
      <w:r>
        <w:t>露天布置的塔、容器等，当顶板厚度等于或大于4</w:t>
      </w:r>
      <w:r>
        <w:rPr>
          <w:rFonts w:hint="eastAsia"/>
        </w:rPr>
        <w:t xml:space="preserve"> </w:t>
      </w:r>
      <w:r>
        <w:t>mm时，可不设</w:t>
      </w:r>
      <w:r>
        <w:rPr>
          <w:rFonts w:hint="eastAsia"/>
        </w:rPr>
        <w:t>接闪器</w:t>
      </w:r>
      <w:r>
        <w:t>，但</w:t>
      </w:r>
      <w:r>
        <w:rPr>
          <w:rFonts w:hint="eastAsia"/>
        </w:rPr>
        <w:t>应</w:t>
      </w:r>
      <w:r>
        <w:t>设接地。</w:t>
      </w:r>
      <w:bookmarkEnd w:id="135"/>
    </w:p>
    <w:p w14:paraId="5CA26356">
      <w:pPr>
        <w:pStyle w:val="43"/>
        <w:spacing w:before="156" w:after="156"/>
        <w:ind w:left="0"/>
      </w:pPr>
      <w:bookmarkStart w:id="136" w:name="_Toc375573759"/>
      <w:r>
        <w:t>可燃气体、可燃液体的钢罐应设防雷接地，并应符合下列规定：</w:t>
      </w:r>
    </w:p>
    <w:bookmarkEnd w:id="136"/>
    <w:p w14:paraId="34D2911E">
      <w:pPr>
        <w:pStyle w:val="23"/>
        <w:rPr>
          <w:rFonts w:ascii="黑体" w:eastAsia="黑体"/>
          <w:szCs w:val="21"/>
        </w:rPr>
      </w:pPr>
      <w:r>
        <w:rPr>
          <w:rFonts w:hint="eastAsia" w:ascii="黑体" w:eastAsia="黑体"/>
          <w:szCs w:val="21"/>
        </w:rPr>
        <w:t xml:space="preserve">1 </w:t>
      </w:r>
      <w:r>
        <w:rPr>
          <w:rFonts w:ascii="黑体" w:eastAsia="黑体"/>
          <w:szCs w:val="21"/>
        </w:rPr>
        <w:t>甲</w:t>
      </w:r>
      <w:r>
        <w:rPr>
          <w:rFonts w:ascii="黑体" w:eastAsia="黑体"/>
          <w:szCs w:val="21"/>
          <w:vertAlign w:val="subscript"/>
        </w:rPr>
        <w:t>B</w:t>
      </w:r>
      <w:r>
        <w:rPr>
          <w:rFonts w:ascii="黑体" w:eastAsia="黑体"/>
          <w:szCs w:val="21"/>
        </w:rPr>
        <w:t>、乙类可燃液体地上固定顶罐，当顶板厚度小于4</w:t>
      </w:r>
      <w:r>
        <w:rPr>
          <w:rFonts w:hint="eastAsia" w:ascii="黑体" w:eastAsia="黑体"/>
          <w:szCs w:val="21"/>
        </w:rPr>
        <w:t xml:space="preserve"> </w:t>
      </w:r>
      <w:r>
        <w:rPr>
          <w:rFonts w:ascii="黑体" w:eastAsia="黑体"/>
          <w:szCs w:val="21"/>
        </w:rPr>
        <w:t>mm时，应装设</w:t>
      </w:r>
      <w:r>
        <w:rPr>
          <w:rFonts w:hint="eastAsia" w:ascii="黑体" w:eastAsia="黑体"/>
          <w:szCs w:val="21"/>
        </w:rPr>
        <w:t>接闪器</w:t>
      </w:r>
      <w:r>
        <w:rPr>
          <w:rFonts w:ascii="黑体" w:eastAsia="黑体"/>
          <w:szCs w:val="21"/>
        </w:rPr>
        <w:t>，其保护范围应包括整个储罐；</w:t>
      </w:r>
    </w:p>
    <w:p w14:paraId="6092BB69">
      <w:pPr>
        <w:pStyle w:val="23"/>
        <w:rPr>
          <w:rFonts w:ascii="黑体" w:eastAsia="黑体"/>
          <w:szCs w:val="21"/>
        </w:rPr>
      </w:pPr>
      <w:r>
        <w:rPr>
          <w:rFonts w:hint="eastAsia" w:ascii="黑体" w:eastAsia="黑体"/>
          <w:szCs w:val="21"/>
        </w:rPr>
        <w:t xml:space="preserve">2 </w:t>
      </w:r>
      <w:r>
        <w:rPr>
          <w:rFonts w:ascii="黑体" w:eastAsia="黑体"/>
          <w:szCs w:val="21"/>
        </w:rPr>
        <w:t>丙类液体储罐可不设</w:t>
      </w:r>
      <w:r>
        <w:rPr>
          <w:rFonts w:hint="eastAsia" w:ascii="黑体" w:eastAsia="黑体"/>
          <w:szCs w:val="21"/>
        </w:rPr>
        <w:t>接闪器</w:t>
      </w:r>
      <w:r>
        <w:rPr>
          <w:rFonts w:ascii="黑体" w:eastAsia="黑体"/>
          <w:szCs w:val="21"/>
        </w:rPr>
        <w:t>，但应设防感应雷接地；</w:t>
      </w:r>
    </w:p>
    <w:p w14:paraId="4724ABCD">
      <w:pPr>
        <w:pStyle w:val="23"/>
        <w:rPr>
          <w:rFonts w:ascii="黑体" w:eastAsia="黑体"/>
          <w:szCs w:val="21"/>
        </w:rPr>
      </w:pPr>
      <w:r>
        <w:rPr>
          <w:rFonts w:hint="eastAsia" w:ascii="黑体" w:eastAsia="黑体"/>
          <w:szCs w:val="21"/>
        </w:rPr>
        <w:t xml:space="preserve">3 </w:t>
      </w:r>
      <w:r>
        <w:rPr>
          <w:rFonts w:ascii="黑体" w:eastAsia="黑体"/>
          <w:szCs w:val="21"/>
        </w:rPr>
        <w:t>浮顶罐及内浮顶罐可不设</w:t>
      </w:r>
      <w:r>
        <w:rPr>
          <w:rFonts w:hint="eastAsia" w:ascii="黑体" w:eastAsia="黑体"/>
          <w:szCs w:val="21"/>
        </w:rPr>
        <w:t>接闪器</w:t>
      </w:r>
      <w:r>
        <w:rPr>
          <w:rFonts w:ascii="黑体" w:eastAsia="黑体"/>
          <w:szCs w:val="21"/>
        </w:rPr>
        <w:t>，但应将浮顶与罐体用两根截面不小于25</w:t>
      </w:r>
      <w:r>
        <w:rPr>
          <w:rFonts w:hint="eastAsia" w:ascii="黑体" w:eastAsia="黑体"/>
          <w:szCs w:val="21"/>
        </w:rPr>
        <w:t xml:space="preserve"> </w:t>
      </w:r>
      <w:r>
        <w:rPr>
          <w:rFonts w:ascii="黑体" w:eastAsia="黑体"/>
          <w:szCs w:val="21"/>
        </w:rPr>
        <w:t>mm</w:t>
      </w:r>
      <w:r>
        <w:rPr>
          <w:rFonts w:ascii="黑体" w:eastAsia="黑体"/>
          <w:szCs w:val="21"/>
          <w:vertAlign w:val="superscript"/>
        </w:rPr>
        <w:t>2</w:t>
      </w:r>
      <w:r>
        <w:rPr>
          <w:rFonts w:ascii="黑体" w:eastAsia="黑体"/>
          <w:szCs w:val="21"/>
        </w:rPr>
        <w:t>的软铜线作电气连接。</w:t>
      </w:r>
    </w:p>
    <w:p w14:paraId="6E12C078">
      <w:pPr>
        <w:pStyle w:val="43"/>
        <w:spacing w:before="156" w:after="156"/>
        <w:ind w:left="0"/>
      </w:pPr>
      <w:bookmarkStart w:id="137" w:name="_Toc375573760"/>
      <w:r>
        <w:t>可燃液体储罐的温度、液位等测量装置应采用铠装电缆或钢管配线，电缆外皮或配线钢管与罐体应作电气连接。</w:t>
      </w:r>
      <w:bookmarkEnd w:id="137"/>
    </w:p>
    <w:p w14:paraId="4A0C3D14">
      <w:pPr>
        <w:pStyle w:val="43"/>
        <w:spacing w:before="156" w:after="156"/>
        <w:ind w:left="0"/>
      </w:pPr>
      <w:bookmarkStart w:id="138" w:name="_Toc375573761"/>
      <w:r>
        <w:t>当电气设备本身的接头部件内有隔离密封时，导体引向电气设备接头部件前的管段处不应封堵，无隔离密封时，应封堵。</w:t>
      </w:r>
      <w:bookmarkEnd w:id="138"/>
    </w:p>
    <w:p w14:paraId="3DC9C507">
      <w:pPr>
        <w:pStyle w:val="39"/>
      </w:pPr>
      <w:bookmarkStart w:id="139" w:name="_Toc375573535"/>
      <w:bookmarkStart w:id="140" w:name="_Toc375573762"/>
      <w:r>
        <w:t>防静电</w:t>
      </w:r>
      <w:bookmarkEnd w:id="139"/>
      <w:bookmarkEnd w:id="140"/>
    </w:p>
    <w:p w14:paraId="329FEF65">
      <w:pPr>
        <w:pStyle w:val="43"/>
        <w:spacing w:before="156" w:after="156"/>
        <w:ind w:left="0"/>
      </w:pPr>
      <w:bookmarkStart w:id="141" w:name="_Toc375573763"/>
      <w:r>
        <w:t>对火灾、爆炸危险场所内可能产生静电危险的设备和管道，均应采取静电接地措施。</w:t>
      </w:r>
      <w:bookmarkEnd w:id="141"/>
    </w:p>
    <w:p w14:paraId="6D1274A2">
      <w:pPr>
        <w:pStyle w:val="43"/>
        <w:spacing w:before="156" w:after="156"/>
        <w:ind w:left="0"/>
      </w:pPr>
      <w:bookmarkStart w:id="142" w:name="_Toc375573764"/>
      <w:r>
        <w:t>直径大于或等于2.5</w:t>
      </w:r>
      <w:r>
        <w:rPr>
          <w:rFonts w:hint="eastAsia"/>
        </w:rPr>
        <w:t xml:space="preserve"> </w:t>
      </w:r>
      <w:r>
        <w:t>m及容积大于或等于50</w:t>
      </w:r>
      <w:r>
        <w:rPr>
          <w:rFonts w:hint="eastAsia"/>
        </w:rPr>
        <w:t xml:space="preserve"> </w:t>
      </w:r>
      <w:r>
        <w:t>m</w:t>
      </w:r>
      <w:r>
        <w:rPr>
          <w:vertAlign w:val="superscript"/>
        </w:rPr>
        <w:t>3</w:t>
      </w:r>
      <w:r>
        <w:t>的设备，其接地点不应少于两处，接地点应沿设备外围均匀布置，其间距不应大于</w:t>
      </w:r>
      <w:r>
        <w:rPr>
          <w:rFonts w:hint="eastAsia"/>
        </w:rPr>
        <w:t xml:space="preserve">18 </w:t>
      </w:r>
      <w:r>
        <w:t>m。</w:t>
      </w:r>
      <w:bookmarkEnd w:id="142"/>
    </w:p>
    <w:p w14:paraId="7EF3E784">
      <w:pPr>
        <w:pStyle w:val="43"/>
        <w:spacing w:before="156" w:after="156"/>
        <w:ind w:left="0"/>
      </w:pPr>
      <w:bookmarkStart w:id="143" w:name="_Toc375573765"/>
      <w:r>
        <w:t>可燃气体、可燃液体、可燃固体的管道在下列部位应设静电接地设施：</w:t>
      </w:r>
    </w:p>
    <w:bookmarkEnd w:id="143"/>
    <w:p w14:paraId="10170943">
      <w:pPr>
        <w:pStyle w:val="23"/>
        <w:rPr>
          <w:rFonts w:ascii="黑体" w:eastAsia="黑体"/>
          <w:szCs w:val="21"/>
        </w:rPr>
      </w:pPr>
      <w:r>
        <w:rPr>
          <w:rFonts w:hint="eastAsia" w:ascii="黑体" w:eastAsia="黑体"/>
          <w:szCs w:val="21"/>
        </w:rPr>
        <w:t xml:space="preserve">1 </w:t>
      </w:r>
      <w:r>
        <w:rPr>
          <w:rFonts w:ascii="黑体" w:eastAsia="黑体"/>
          <w:szCs w:val="21"/>
        </w:rPr>
        <w:t>进出装置或设施处；</w:t>
      </w:r>
    </w:p>
    <w:p w14:paraId="052B7180">
      <w:pPr>
        <w:pStyle w:val="23"/>
        <w:rPr>
          <w:rFonts w:ascii="黑体" w:eastAsia="黑体"/>
          <w:szCs w:val="21"/>
        </w:rPr>
      </w:pPr>
      <w:r>
        <w:rPr>
          <w:rFonts w:hint="eastAsia" w:ascii="黑体" w:eastAsia="黑体"/>
          <w:szCs w:val="21"/>
        </w:rPr>
        <w:t xml:space="preserve">2 </w:t>
      </w:r>
      <w:r>
        <w:rPr>
          <w:rFonts w:ascii="黑体" w:eastAsia="黑体"/>
          <w:szCs w:val="21"/>
        </w:rPr>
        <w:t>爆炸危险场所的边界；</w:t>
      </w:r>
    </w:p>
    <w:p w14:paraId="2F1F42FE">
      <w:pPr>
        <w:pStyle w:val="23"/>
        <w:rPr>
          <w:rFonts w:ascii="黑体" w:eastAsia="黑体"/>
          <w:szCs w:val="21"/>
        </w:rPr>
      </w:pPr>
      <w:r>
        <w:rPr>
          <w:rFonts w:hint="eastAsia" w:ascii="黑体" w:eastAsia="黑体"/>
          <w:szCs w:val="21"/>
        </w:rPr>
        <w:t xml:space="preserve">3 </w:t>
      </w:r>
      <w:r>
        <w:rPr>
          <w:rFonts w:ascii="黑体" w:eastAsia="黑体"/>
          <w:szCs w:val="21"/>
        </w:rPr>
        <w:t>管道泵及泵入口永久过滤器、缓冲器等。</w:t>
      </w:r>
    </w:p>
    <w:p w14:paraId="3D99C178">
      <w:pPr>
        <w:pStyle w:val="43"/>
        <w:spacing w:before="156" w:after="156"/>
        <w:ind w:left="0"/>
      </w:pPr>
      <w:bookmarkStart w:id="144" w:name="_Toc375573766"/>
      <w:r>
        <w:t>可燃液体的装卸栈台的管道、设备、建筑物、构筑物的金属构件和铁路钢轨等(作阴极保护者除外)，均应作电气连接并接地。</w:t>
      </w:r>
      <w:bookmarkEnd w:id="144"/>
    </w:p>
    <w:p w14:paraId="329086C7">
      <w:pPr>
        <w:pStyle w:val="43"/>
        <w:spacing w:before="156" w:after="156"/>
        <w:ind w:left="0"/>
      </w:pPr>
      <w:bookmarkStart w:id="145" w:name="_Toc375573767"/>
      <w:r>
        <w:t>汽车罐车、铁路罐车</w:t>
      </w:r>
      <w:r>
        <w:rPr>
          <w:rFonts w:hint="eastAsia"/>
        </w:rPr>
        <w:t>的</w:t>
      </w:r>
      <w:r>
        <w:t>装卸栈台应设静电专用接地线，并</w:t>
      </w:r>
      <w:r>
        <w:rPr>
          <w:rFonts w:hint="eastAsia"/>
        </w:rPr>
        <w:t>设置</w:t>
      </w:r>
      <w:r>
        <w:t>监视接地装置状态和报警的静电接地仪。</w:t>
      </w:r>
      <w:bookmarkEnd w:id="145"/>
    </w:p>
    <w:p w14:paraId="179033B7">
      <w:pPr>
        <w:pStyle w:val="43"/>
        <w:spacing w:before="156" w:after="156"/>
        <w:ind w:left="0"/>
      </w:pPr>
      <w:bookmarkStart w:id="146" w:name="_Toc375573768"/>
      <w:r>
        <w:t>每组专设的静电接地体的接地电阻值不应大于100</w:t>
      </w:r>
      <w:r>
        <w:rPr>
          <w:rFonts w:hint="eastAsia"/>
        </w:rPr>
        <w:t xml:space="preserve"> </w:t>
      </w:r>
      <w:r>
        <w:t>Ω。</w:t>
      </w:r>
      <w:bookmarkEnd w:id="146"/>
    </w:p>
    <w:p w14:paraId="2B75E5D7">
      <w:pPr>
        <w:pStyle w:val="43"/>
        <w:spacing w:before="156" w:after="156"/>
        <w:ind w:left="0"/>
      </w:pPr>
      <w:bookmarkStart w:id="147" w:name="_Toc375573769"/>
      <w:r>
        <w:t>当金属法兰采用金属螺栓时，一般不必另装静电连接线，但螺栓</w:t>
      </w:r>
      <w:r>
        <w:rPr>
          <w:rFonts w:hint="eastAsia"/>
        </w:rPr>
        <w:t>＜</w:t>
      </w:r>
      <w:r>
        <w:t>5</w:t>
      </w:r>
      <w:r>
        <w:rPr>
          <w:rFonts w:hint="eastAsia"/>
        </w:rPr>
        <w:t xml:space="preserve"> </w:t>
      </w:r>
      <w:r>
        <w:t>个，应加金属跨接线。如果采用了金属缠绕垫片</w:t>
      </w:r>
      <w:r>
        <w:rPr>
          <w:rFonts w:hint="eastAsia"/>
          <w:highlight w:val="yellow"/>
        </w:rPr>
        <w:t>且电阻＜0.03Ω</w:t>
      </w:r>
      <w:r>
        <w:t>，并具有良好的导电接触面，可不另装跨接线。</w:t>
      </w:r>
      <w:bookmarkEnd w:id="147"/>
    </w:p>
    <w:p w14:paraId="2D33808A">
      <w:pPr>
        <w:pStyle w:val="43"/>
        <w:spacing w:before="156" w:after="156"/>
        <w:ind w:left="0"/>
      </w:pPr>
      <w:bookmarkStart w:id="148" w:name="_Toc375573770"/>
      <w:r>
        <w:t>在罐区和甲、乙类厂房的</w:t>
      </w:r>
      <w:r>
        <w:rPr>
          <w:rFonts w:hint="eastAsia"/>
          <w:highlight w:val="yellow"/>
        </w:rPr>
        <w:t>入</w:t>
      </w:r>
      <w:r>
        <w:rPr>
          <w:highlight w:val="yellow"/>
        </w:rPr>
        <w:t>口</w:t>
      </w:r>
      <w:r>
        <w:t>处，应设置人体消除静电设施，在爆炸危险区域内人体消除静电设施应采用本安型。</w:t>
      </w:r>
      <w:bookmarkEnd w:id="148"/>
    </w:p>
    <w:p w14:paraId="4883DA9A">
      <w:pPr>
        <w:pStyle w:val="43"/>
        <w:spacing w:before="156" w:after="156"/>
        <w:ind w:left="0"/>
      </w:pPr>
      <w:bookmarkStart w:id="149" w:name="_Toc375573771"/>
      <w:r>
        <w:t>管道在进出装置区(含生产车间厂房)处、分岔处应进行接地。长距离无分支管道应每隔100</w:t>
      </w:r>
      <w:r>
        <w:rPr>
          <w:rFonts w:hint="eastAsia"/>
        </w:rPr>
        <w:t xml:space="preserve"> </w:t>
      </w:r>
      <w:r>
        <w:t>m接地一次。</w:t>
      </w:r>
      <w:bookmarkEnd w:id="149"/>
    </w:p>
    <w:p w14:paraId="16A42C26">
      <w:pPr>
        <w:pStyle w:val="43"/>
        <w:spacing w:before="156" w:after="156"/>
        <w:ind w:left="0"/>
      </w:pPr>
      <w:bookmarkStart w:id="150" w:name="_Toc375573772"/>
      <w:r>
        <w:t>平行管道净距小于100</w:t>
      </w:r>
      <w:r>
        <w:rPr>
          <w:rFonts w:hint="eastAsia"/>
        </w:rPr>
        <w:t xml:space="preserve"> </w:t>
      </w:r>
      <w:r>
        <w:t>mm时，应每隔20</w:t>
      </w:r>
      <w:r>
        <w:rPr>
          <w:rFonts w:hint="eastAsia"/>
        </w:rPr>
        <w:t xml:space="preserve"> </w:t>
      </w:r>
      <w:r>
        <w:t>m加跨接线。当管道交叉且净距小于100</w:t>
      </w:r>
      <w:r>
        <w:rPr>
          <w:rFonts w:hint="eastAsia"/>
        </w:rPr>
        <w:t xml:space="preserve"> </w:t>
      </w:r>
      <w:r>
        <w:t>mm时，应加跨接线。</w:t>
      </w:r>
      <w:bookmarkEnd w:id="150"/>
    </w:p>
    <w:p w14:paraId="52F131D7">
      <w:pPr>
        <w:pStyle w:val="43"/>
        <w:spacing w:before="156" w:after="156"/>
        <w:ind w:left="0"/>
      </w:pPr>
      <w:r>
        <w:rPr>
          <w:rFonts w:hint="eastAsia"/>
        </w:rPr>
        <w:t>操作人员在可能产生静电危害的场所，应采取下列措施：</w:t>
      </w:r>
    </w:p>
    <w:p w14:paraId="1A4DF5BA">
      <w:pPr>
        <w:pStyle w:val="23"/>
        <w:rPr>
          <w:rFonts w:ascii="黑体" w:eastAsia="黑体"/>
          <w:szCs w:val="21"/>
        </w:rPr>
      </w:pPr>
      <w:r>
        <w:rPr>
          <w:rFonts w:hint="eastAsia" w:ascii="黑体" w:eastAsia="黑体"/>
          <w:szCs w:val="21"/>
        </w:rPr>
        <w:t>1 应正确使用各种防静电防护用品（如防静电鞋、防静电工作服、防静电手套等），不应穿戴合成纤维及丝绸衣物。</w:t>
      </w:r>
    </w:p>
    <w:p w14:paraId="7438B3BA">
      <w:pPr>
        <w:pStyle w:val="23"/>
        <w:rPr>
          <w:rFonts w:ascii="黑体" w:eastAsia="黑体"/>
          <w:szCs w:val="21"/>
        </w:rPr>
      </w:pPr>
      <w:r>
        <w:rPr>
          <w:rFonts w:hint="eastAsia" w:ascii="黑体" w:eastAsia="黑体"/>
          <w:szCs w:val="21"/>
        </w:rPr>
        <w:t>2 操作人员应徒手或徒手戴防静电手套触摸接地金属物体后方可进入工作场所。</w:t>
      </w:r>
    </w:p>
    <w:p w14:paraId="5AC144C0">
      <w:pPr>
        <w:pStyle w:val="23"/>
        <w:rPr>
          <w:rFonts w:ascii="黑体" w:eastAsia="黑体"/>
          <w:szCs w:val="21"/>
        </w:rPr>
      </w:pPr>
      <w:r>
        <w:rPr>
          <w:rFonts w:hint="eastAsia" w:ascii="黑体" w:eastAsia="黑体"/>
          <w:szCs w:val="21"/>
        </w:rPr>
        <w:t>3 禁止在爆炸危险场所穿脱衣服、帽子等。</w:t>
      </w:r>
    </w:p>
    <w:p w14:paraId="2C7D1F76">
      <w:pPr>
        <w:pStyle w:val="39"/>
      </w:pPr>
      <w:bookmarkStart w:id="151" w:name="_Toc375573536"/>
      <w:bookmarkStart w:id="152" w:name="_Toc375573773"/>
      <w:r>
        <w:t>防触电</w:t>
      </w:r>
      <w:bookmarkEnd w:id="151"/>
      <w:bookmarkEnd w:id="152"/>
    </w:p>
    <w:p w14:paraId="59E318B3">
      <w:pPr>
        <w:pStyle w:val="43"/>
        <w:spacing w:before="156" w:after="156"/>
        <w:ind w:left="0"/>
      </w:pPr>
      <w:bookmarkStart w:id="153" w:name="_Toc375573774"/>
      <w:r>
        <w:t>配电室内的配电柜前应铺设绝缘板。变、配电室应备有绝缘手套、绝缘鞋和绝缘杆等工具，并应定期检定。</w:t>
      </w:r>
      <w:bookmarkEnd w:id="153"/>
    </w:p>
    <w:p w14:paraId="42D4EFB5">
      <w:pPr>
        <w:pStyle w:val="43"/>
        <w:spacing w:before="156" w:after="156"/>
        <w:ind w:left="0"/>
      </w:pPr>
      <w:bookmarkStart w:id="154" w:name="_Toc375573776"/>
      <w:r>
        <w:t>行灯电压不应大于36</w:t>
      </w:r>
      <w:r>
        <w:rPr>
          <w:rFonts w:hint="eastAsia"/>
        </w:rPr>
        <w:t xml:space="preserve"> </w:t>
      </w:r>
      <w:r>
        <w:t>V，在金属容器内或潮湿场所，则电压不应大于12</w:t>
      </w:r>
      <w:r>
        <w:rPr>
          <w:rFonts w:hint="eastAsia"/>
        </w:rPr>
        <w:t xml:space="preserve"> </w:t>
      </w:r>
      <w:r>
        <w:t>V。</w:t>
      </w:r>
      <w:bookmarkEnd w:id="154"/>
    </w:p>
    <w:p w14:paraId="286ED438">
      <w:pPr>
        <w:pStyle w:val="43"/>
        <w:spacing w:before="156" w:after="156"/>
        <w:ind w:left="0"/>
      </w:pPr>
      <w:r>
        <w:rPr>
          <w:rFonts w:hint="eastAsia"/>
        </w:rPr>
        <w:t>误操作可能带来人身触电或伤害事故的设备或回路，应设置电气联锁装置或机械联锁装置。</w:t>
      </w:r>
    </w:p>
    <w:p w14:paraId="0EF4734B">
      <w:pPr>
        <w:pStyle w:val="43"/>
        <w:spacing w:before="156" w:after="156"/>
        <w:ind w:left="0"/>
        <w:rPr>
          <w:highlight w:val="yellow"/>
        </w:rPr>
      </w:pPr>
      <w:r>
        <w:rPr>
          <w:rFonts w:hint="eastAsia"/>
          <w:highlight w:val="yellow"/>
        </w:rPr>
        <w:t>用电设备应设置电气保护装置，其电流、电压、短路容量均应满足工作条件的要求；电气设备及线路设计均应达到相应的绝缘水平。</w:t>
      </w:r>
    </w:p>
    <w:p w14:paraId="14A12672">
      <w:pPr>
        <w:pStyle w:val="43"/>
        <w:spacing w:before="156" w:after="156"/>
        <w:ind w:left="0"/>
        <w:rPr>
          <w:highlight w:val="yellow"/>
        </w:rPr>
      </w:pPr>
      <w:r>
        <w:rPr>
          <w:rFonts w:hint="eastAsia"/>
          <w:highlight w:val="yellow"/>
        </w:rPr>
        <w:t>电气设备的金属外壳应有良好的接地装置，使用中不得将接地装置拆除或对其进行任何工作。</w:t>
      </w:r>
    </w:p>
    <w:p w14:paraId="3D992ECD">
      <w:pPr>
        <w:pStyle w:val="39"/>
      </w:pPr>
      <w:bookmarkStart w:id="155" w:name="_Toc375573537"/>
      <w:bookmarkStart w:id="156" w:name="_Toc375573777"/>
      <w:r>
        <w:t>照明</w:t>
      </w:r>
      <w:bookmarkEnd w:id="155"/>
      <w:bookmarkEnd w:id="156"/>
    </w:p>
    <w:p w14:paraId="14383EE4">
      <w:pPr>
        <w:pStyle w:val="43"/>
        <w:spacing w:before="156" w:after="156"/>
        <w:ind w:left="0"/>
      </w:pPr>
      <w:bookmarkStart w:id="157" w:name="_Toc375573778"/>
      <w:r>
        <w:t>自然采光不足的工作室内，夜间有人工作的场所及夜间有人、车辆行走的道路，均应设置照明。</w:t>
      </w:r>
      <w:bookmarkEnd w:id="157"/>
    </w:p>
    <w:p w14:paraId="402C5EAC">
      <w:pPr>
        <w:pStyle w:val="43"/>
        <w:spacing w:before="156" w:after="156"/>
        <w:ind w:left="0"/>
      </w:pPr>
      <w:bookmarkStart w:id="158" w:name="_Toc375573780"/>
      <w:r>
        <w:t>甲、乙类液体罐区，宜采用从非爆炸危险区高处投光照明，需要局部照明时，应采用防爆灯。</w:t>
      </w:r>
      <w:bookmarkEnd w:id="158"/>
    </w:p>
    <w:p w14:paraId="0D463581">
      <w:pPr>
        <w:pStyle w:val="43"/>
        <w:spacing w:before="156" w:after="156"/>
        <w:ind w:left="0"/>
      </w:pPr>
      <w:bookmarkStart w:id="159" w:name="_Toc375573781"/>
      <w:r>
        <w:t>下列场所应设应急照明，正常照明中断时，应急照明应能自动启动，</w:t>
      </w:r>
      <w:r>
        <w:rPr>
          <w:highlight w:val="yellow"/>
        </w:rPr>
        <w:t>生产厂房</w:t>
      </w:r>
      <w:r>
        <w:rPr>
          <w:rFonts w:hint="eastAsia"/>
          <w:highlight w:val="yellow"/>
        </w:rPr>
        <w:t>（</w:t>
      </w:r>
      <w:r>
        <w:rPr>
          <w:highlight w:val="yellow"/>
        </w:rPr>
        <w:t>甲</w:t>
      </w:r>
      <w:r>
        <w:rPr>
          <w:rFonts w:hint="eastAsia"/>
          <w:highlight w:val="yellow"/>
        </w:rPr>
        <w:t>、</w:t>
      </w:r>
      <w:r>
        <w:rPr>
          <w:highlight w:val="yellow"/>
        </w:rPr>
        <w:t>乙类</w:t>
      </w:r>
      <w:r>
        <w:rPr>
          <w:rFonts w:hint="eastAsia"/>
          <w:highlight w:val="yellow"/>
        </w:rPr>
        <w:t>）、</w:t>
      </w:r>
      <w:r>
        <w:rPr>
          <w:highlight w:val="yellow"/>
        </w:rPr>
        <w:t>变配电室和集中控制的仪表室</w:t>
      </w:r>
      <w:r>
        <w:rPr>
          <w:rFonts w:hint="eastAsia"/>
          <w:highlight w:val="yellow"/>
        </w:rPr>
        <w:t>、</w:t>
      </w:r>
      <w:r>
        <w:rPr>
          <w:highlight w:val="yellow"/>
        </w:rPr>
        <w:t>人员密集场所(办公室、更衣室和休息室等)</w:t>
      </w:r>
      <w:r>
        <w:rPr>
          <w:rFonts w:hint="eastAsia"/>
          <w:highlight w:val="yellow"/>
        </w:rPr>
        <w:t>、柴油发电机、控制室等</w:t>
      </w:r>
      <w:r>
        <w:rPr>
          <w:highlight w:val="yellow"/>
        </w:rPr>
        <w:t>应急照明供电时间不小于90</w:t>
      </w:r>
      <w:r>
        <w:rPr>
          <w:rFonts w:hint="eastAsia"/>
          <w:highlight w:val="yellow"/>
        </w:rPr>
        <w:t xml:space="preserve"> </w:t>
      </w:r>
      <w:r>
        <w:rPr>
          <w:highlight w:val="yellow"/>
        </w:rPr>
        <w:t>min</w:t>
      </w:r>
      <w:r>
        <w:rPr>
          <w:rFonts w:hint="eastAsia"/>
          <w:highlight w:val="yellow"/>
        </w:rPr>
        <w:t>，消防泵房</w:t>
      </w:r>
      <w:r>
        <w:rPr>
          <w:highlight w:val="yellow"/>
        </w:rPr>
        <w:t>应急照明供电时间不小于</w:t>
      </w:r>
      <w:r>
        <w:rPr>
          <w:rFonts w:hint="eastAsia"/>
          <w:highlight w:val="yellow"/>
        </w:rPr>
        <w:t>180min。</w:t>
      </w:r>
    </w:p>
    <w:bookmarkEnd w:id="159"/>
    <w:p w14:paraId="131B123F">
      <w:pPr>
        <w:pStyle w:val="43"/>
        <w:spacing w:before="156" w:after="156"/>
        <w:ind w:left="0"/>
      </w:pPr>
      <w:bookmarkStart w:id="160" w:name="_Toc375573782"/>
      <w:r>
        <w:t>作业场所的照度和其他照明要求应符合GB</w:t>
      </w:r>
      <w:r>
        <w:rPr>
          <w:rFonts w:hint="eastAsia"/>
        </w:rPr>
        <w:t xml:space="preserve"> </w:t>
      </w:r>
      <w:r>
        <w:t>50034的规定。</w:t>
      </w:r>
      <w:bookmarkEnd w:id="160"/>
    </w:p>
    <w:p w14:paraId="086E17E0">
      <w:pPr>
        <w:pStyle w:val="39"/>
      </w:pPr>
      <w:bookmarkStart w:id="161" w:name="_Toc375573538"/>
      <w:bookmarkStart w:id="162" w:name="_Toc375573783"/>
      <w:r>
        <w:t>通讯和仪表</w:t>
      </w:r>
      <w:bookmarkEnd w:id="161"/>
      <w:bookmarkEnd w:id="162"/>
    </w:p>
    <w:p w14:paraId="1A4E6A2E">
      <w:pPr>
        <w:pStyle w:val="43"/>
        <w:spacing w:before="156" w:after="156"/>
        <w:ind w:left="0"/>
      </w:pPr>
      <w:bookmarkStart w:id="163" w:name="_Toc375573784"/>
      <w:r>
        <w:t>下列单位(或岗位)之间应设直通电话或直通讯号：</w:t>
      </w:r>
    </w:p>
    <w:bookmarkEnd w:id="163"/>
    <w:p w14:paraId="2B446E74">
      <w:pPr>
        <w:spacing w:line="300" w:lineRule="exact"/>
        <w:ind w:firstLine="420" w:firstLineChars="200"/>
        <w:rPr>
          <w:rFonts w:ascii="黑体" w:eastAsia="黑体"/>
          <w:kern w:val="0"/>
          <w:szCs w:val="21"/>
        </w:rPr>
      </w:pPr>
      <w:r>
        <w:rPr>
          <w:rFonts w:hint="eastAsia" w:ascii="黑体" w:eastAsia="黑体"/>
          <w:kern w:val="0"/>
          <w:szCs w:val="21"/>
        </w:rPr>
        <w:t xml:space="preserve">1 </w:t>
      </w:r>
      <w:r>
        <w:rPr>
          <w:rFonts w:ascii="黑体" w:eastAsia="黑体"/>
          <w:kern w:val="0"/>
          <w:szCs w:val="21"/>
        </w:rPr>
        <w:t>厂调度室与各车间、工段、重要岗位及热力供应、电力供应、水力供应、消防和医疗卫生等单位；</w:t>
      </w:r>
    </w:p>
    <w:p w14:paraId="672AE003">
      <w:pPr>
        <w:spacing w:line="300" w:lineRule="exact"/>
        <w:ind w:firstLine="420" w:firstLineChars="200"/>
        <w:rPr>
          <w:rFonts w:ascii="黑体" w:eastAsia="黑体"/>
          <w:kern w:val="0"/>
          <w:szCs w:val="21"/>
        </w:rPr>
      </w:pPr>
      <w:r>
        <w:rPr>
          <w:rFonts w:hint="eastAsia" w:ascii="黑体" w:eastAsia="黑体"/>
          <w:kern w:val="0"/>
          <w:szCs w:val="21"/>
        </w:rPr>
        <w:t xml:space="preserve">2 </w:t>
      </w:r>
      <w:r>
        <w:rPr>
          <w:rFonts w:ascii="黑体" w:eastAsia="黑体"/>
          <w:kern w:val="0"/>
          <w:szCs w:val="21"/>
        </w:rPr>
        <w:t>集中控制台与有关岗位；</w:t>
      </w:r>
    </w:p>
    <w:p w14:paraId="253CA81A">
      <w:pPr>
        <w:spacing w:line="300" w:lineRule="exact"/>
        <w:ind w:firstLine="420" w:firstLineChars="200"/>
        <w:rPr>
          <w:rFonts w:ascii="黑体" w:eastAsia="黑体"/>
          <w:kern w:val="0"/>
          <w:szCs w:val="21"/>
        </w:rPr>
      </w:pPr>
      <w:r>
        <w:rPr>
          <w:rFonts w:hint="eastAsia" w:ascii="黑体" w:eastAsia="黑体"/>
          <w:kern w:val="0"/>
          <w:szCs w:val="21"/>
        </w:rPr>
        <w:t xml:space="preserve">3 </w:t>
      </w:r>
      <w:r>
        <w:rPr>
          <w:rFonts w:ascii="黑体" w:eastAsia="黑体"/>
          <w:kern w:val="0"/>
          <w:szCs w:val="21"/>
        </w:rPr>
        <w:t>相关的重要岗位之间。</w:t>
      </w:r>
    </w:p>
    <w:p w14:paraId="188AE4C3">
      <w:pPr>
        <w:pStyle w:val="43"/>
        <w:spacing w:before="156" w:after="156"/>
        <w:ind w:left="0"/>
      </w:pPr>
      <w:bookmarkStart w:id="164" w:name="_Toc375573785"/>
      <w:r>
        <w:t>易燃、可燃或有毒介质导管不应直接进入仪表操作室，应通过变送器把信号引进仪表操作室。</w:t>
      </w:r>
      <w:bookmarkEnd w:id="164"/>
    </w:p>
    <w:p w14:paraId="57A8DAAE">
      <w:pPr>
        <w:pStyle w:val="43"/>
        <w:spacing w:before="156" w:after="156"/>
        <w:ind w:left="0"/>
      </w:pPr>
      <w:bookmarkStart w:id="165" w:name="_Toc375573786"/>
      <w:r>
        <w:t>爆炸危险场所使用的无线通讯器、监控器的选型应按危险程度较高的级别和组别选用防爆电气设备。</w:t>
      </w:r>
      <w:bookmarkEnd w:id="165"/>
    </w:p>
    <w:p w14:paraId="6C75391A">
      <w:pPr>
        <w:pStyle w:val="43"/>
        <w:spacing w:before="156" w:after="156"/>
        <w:ind w:left="0"/>
        <w:rPr>
          <w:highlight w:val="yellow"/>
        </w:rPr>
      </w:pPr>
      <w:r>
        <w:rPr>
          <w:rFonts w:hint="eastAsia"/>
          <w:highlight w:val="yellow"/>
        </w:rPr>
        <w:t>应保证仪器、仪表、监控装置的可靠性，并定期开展检验、校验、检查、试验、保养、维护等工作。</w:t>
      </w:r>
    </w:p>
    <w:p w14:paraId="26F67688">
      <w:pPr>
        <w:pStyle w:val="43"/>
        <w:spacing w:before="156" w:after="156"/>
        <w:ind w:left="0"/>
        <w:rPr>
          <w:highlight w:val="yellow"/>
        </w:rPr>
      </w:pPr>
      <w:r>
        <w:rPr>
          <w:rFonts w:hint="eastAsia"/>
          <w:highlight w:val="yellow"/>
        </w:rPr>
        <w:t>一级负荷中特别重要的负荷的仪器、仪表、监控装置等应设应急电源，</w:t>
      </w:r>
      <w:bookmarkStart w:id="166" w:name="OLE_LINK8"/>
      <w:bookmarkStart w:id="167" w:name="OLE_LINK9"/>
      <w:r>
        <w:rPr>
          <w:rFonts w:hint="eastAsia"/>
          <w:highlight w:val="yellow"/>
        </w:rPr>
        <w:t>应急电源</w:t>
      </w:r>
      <w:bookmarkEnd w:id="166"/>
      <w:bookmarkEnd w:id="167"/>
      <w:r>
        <w:rPr>
          <w:rFonts w:hint="eastAsia"/>
          <w:highlight w:val="yellow"/>
        </w:rPr>
        <w:t>工作时间应满足相关要求。</w:t>
      </w:r>
    </w:p>
    <w:p w14:paraId="33C49A8E">
      <w:pPr>
        <w:pStyle w:val="42"/>
      </w:pPr>
      <w:bookmarkStart w:id="168" w:name="_Toc375573787"/>
      <w:bookmarkStart w:id="169" w:name="_Toc423007386"/>
      <w:bookmarkStart w:id="170" w:name="_Toc423007768"/>
      <w:r>
        <w:t>安全管理</w:t>
      </w:r>
      <w:bookmarkEnd w:id="168"/>
      <w:bookmarkEnd w:id="169"/>
      <w:bookmarkEnd w:id="170"/>
    </w:p>
    <w:p w14:paraId="64EA424E">
      <w:pPr>
        <w:pStyle w:val="39"/>
      </w:pPr>
      <w:bookmarkStart w:id="171" w:name="_Toc375573539"/>
      <w:bookmarkStart w:id="172" w:name="_Toc375573788"/>
      <w:bookmarkStart w:id="173" w:name="OLE_LINK1"/>
      <w:r>
        <w:rPr>
          <w:rFonts w:hint="eastAsia"/>
        </w:rPr>
        <w:t>组织机构</w:t>
      </w:r>
      <w:bookmarkEnd w:id="171"/>
      <w:bookmarkEnd w:id="172"/>
      <w:bookmarkEnd w:id="173"/>
    </w:p>
    <w:p w14:paraId="210C28D1">
      <w:pPr>
        <w:pStyle w:val="43"/>
        <w:spacing w:before="156" w:after="156"/>
        <w:ind w:left="0"/>
      </w:pPr>
      <w:bookmarkStart w:id="174" w:name="_Toc375573789"/>
      <w:r>
        <w:t>企业应设置安</w:t>
      </w:r>
      <w:r>
        <w:rPr>
          <w:rFonts w:hint="eastAsia"/>
        </w:rPr>
        <w:t>全生产</w:t>
      </w:r>
      <w:r>
        <w:t>委</w:t>
      </w:r>
      <w:r>
        <w:rPr>
          <w:rFonts w:hint="eastAsia"/>
        </w:rPr>
        <w:t>员</w:t>
      </w:r>
      <w:r>
        <w:t>会</w:t>
      </w:r>
      <w:r>
        <w:rPr>
          <w:rFonts w:hint="eastAsia"/>
        </w:rPr>
        <w:t>、</w:t>
      </w:r>
      <w:r>
        <w:t>安全生产管理部门或配备专职安全生产管理人员</w:t>
      </w:r>
      <w:r>
        <w:rPr>
          <w:rFonts w:hint="eastAsia"/>
        </w:rPr>
        <w:t>、</w:t>
      </w:r>
      <w:r>
        <w:rPr>
          <w:rFonts w:hint="eastAsia"/>
          <w:highlight w:val="yellow"/>
        </w:rPr>
        <w:t>注册安全工程师</w:t>
      </w:r>
      <w:r>
        <w:t>，</w:t>
      </w:r>
      <w:r>
        <w:rPr>
          <w:highlight w:val="yellow"/>
        </w:rPr>
        <w:t>并按规定</w:t>
      </w:r>
      <w:r>
        <w:rPr>
          <w:rFonts w:hint="eastAsia"/>
          <w:highlight w:val="yellow"/>
        </w:rPr>
        <w:t>比列</w:t>
      </w:r>
      <w:r>
        <w:rPr>
          <w:highlight w:val="yellow"/>
        </w:rPr>
        <w:t>配备</w:t>
      </w:r>
      <w:r>
        <w:rPr>
          <w:rFonts w:hint="eastAsia"/>
          <w:highlight w:val="yellow"/>
        </w:rPr>
        <w:t>装置安全生产管理人员和</w:t>
      </w:r>
      <w:r>
        <w:rPr>
          <w:highlight w:val="yellow"/>
        </w:rPr>
        <w:t>注册安全工程师。</w:t>
      </w:r>
      <w:bookmarkEnd w:id="174"/>
    </w:p>
    <w:p w14:paraId="6F66578E">
      <w:pPr>
        <w:pStyle w:val="43"/>
        <w:spacing w:before="156" w:after="156"/>
        <w:ind w:left="0"/>
        <w:rPr>
          <w:highlight w:val="yellow"/>
        </w:rPr>
      </w:pPr>
      <w:r>
        <w:rPr>
          <w:rFonts w:hint="eastAsia"/>
          <w:highlight w:val="yellow"/>
        </w:rPr>
        <w:t>企业应组织制定订本单位安全生产规章制度、安全生产责任制、操作规程和生产安全事故应急救援预案等。</w:t>
      </w:r>
    </w:p>
    <w:p w14:paraId="0EF2D9C0">
      <w:pPr>
        <w:pStyle w:val="43"/>
        <w:spacing w:before="156" w:after="156"/>
        <w:ind w:left="0"/>
      </w:pPr>
      <w:bookmarkStart w:id="175" w:name="_Toc375573790"/>
      <w:r>
        <w:rPr>
          <w:rFonts w:hint="eastAsia"/>
        </w:rPr>
        <w:t>企业应建立健全从安全生产委员会到基层班组的安全生产网络。</w:t>
      </w:r>
      <w:bookmarkEnd w:id="175"/>
    </w:p>
    <w:p w14:paraId="6F52E1C5">
      <w:pPr>
        <w:pStyle w:val="39"/>
      </w:pPr>
      <w:bookmarkStart w:id="176" w:name="_Toc375573540"/>
      <w:bookmarkStart w:id="177" w:name="_Toc375573791"/>
      <w:r>
        <w:rPr>
          <w:rFonts w:hint="eastAsia"/>
        </w:rPr>
        <w:t>人员</w:t>
      </w:r>
      <w:bookmarkEnd w:id="176"/>
      <w:bookmarkEnd w:id="177"/>
      <w:r>
        <w:rPr>
          <w:rFonts w:hint="eastAsia"/>
        </w:rPr>
        <w:t>培训</w:t>
      </w:r>
    </w:p>
    <w:p w14:paraId="2CB37062">
      <w:pPr>
        <w:pStyle w:val="43"/>
        <w:spacing w:before="156" w:after="156"/>
        <w:ind w:left="0"/>
      </w:pPr>
      <w:bookmarkStart w:id="178" w:name="_Toc375573792"/>
      <w:r>
        <w:rPr>
          <w:rFonts w:hint="eastAsia"/>
        </w:rPr>
        <w:t>企业</w:t>
      </w:r>
      <w:r>
        <w:t>主要负责人</w:t>
      </w:r>
      <w:r>
        <w:rPr>
          <w:rFonts w:hint="eastAsia"/>
        </w:rPr>
        <w:t>和</w:t>
      </w:r>
      <w:r>
        <w:t>安全</w:t>
      </w:r>
      <w:r>
        <w:rPr>
          <w:rFonts w:hint="eastAsia"/>
        </w:rPr>
        <w:t>生产管理人员应接受专门的安全培训教育，</w:t>
      </w:r>
      <w:r>
        <w:t>经</w:t>
      </w:r>
      <w:r>
        <w:rPr>
          <w:rFonts w:hint="eastAsia"/>
        </w:rPr>
        <w:t>相关</w:t>
      </w:r>
      <w:r>
        <w:t>部门对其安全生产知识和管理能力考核合格，取得安全资格证书后方可任职，并按规定参加每年再培训。</w:t>
      </w:r>
    </w:p>
    <w:bookmarkEnd w:id="178"/>
    <w:p w14:paraId="77D3F79E">
      <w:pPr>
        <w:pStyle w:val="43"/>
        <w:spacing w:before="156" w:after="156"/>
        <w:ind w:left="0"/>
      </w:pPr>
      <w:bookmarkStart w:id="179" w:name="_Toc375573795"/>
      <w:r>
        <w:t>企业其它管理人员，包括管理部门负责人和基层单位负责人、专业工程技术人员的安全培训教育由企业相关部门组织，经考核合格后方可任职。</w:t>
      </w:r>
      <w:bookmarkEnd w:id="179"/>
    </w:p>
    <w:p w14:paraId="6ECB8895">
      <w:pPr>
        <w:pStyle w:val="43"/>
        <w:spacing w:before="156" w:after="156"/>
        <w:ind w:left="0"/>
      </w:pPr>
      <w:r>
        <w:rPr>
          <w:rFonts w:hint="eastAsia"/>
        </w:rPr>
        <w:t>生产经营单位采用新工艺、新技术、新材料或者使用新设备时，应对从业人员进行专门的安全生产教育培训。</w:t>
      </w:r>
    </w:p>
    <w:p w14:paraId="3302EA62">
      <w:pPr>
        <w:pStyle w:val="43"/>
        <w:spacing w:before="156" w:after="156"/>
        <w:ind w:left="0"/>
      </w:pPr>
      <w:r>
        <w:rPr>
          <w:rFonts w:hint="eastAsia"/>
        </w:rPr>
        <w:t>生产经营单位要确立终身教育的观念和全员培训的目标，对在岗的从业人员应进行经常性安全生产教育培训。</w:t>
      </w:r>
    </w:p>
    <w:p w14:paraId="728F8C31">
      <w:pPr>
        <w:pStyle w:val="127"/>
        <w:framePr w:wrap="around"/>
      </w:pPr>
      <w:r>
        <w:t>_________________________________</w:t>
      </w:r>
    </w:p>
    <w:sectPr>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77D1">
    <w:pPr>
      <w:pStyle w:val="65"/>
    </w:pPr>
    <w:r>
      <w:fldChar w:fldCharType="begin"/>
    </w:r>
    <w:r>
      <w:instrText xml:space="preserve"> PAGE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772C">
    <w:pPr>
      <w:pStyle w:val="40"/>
    </w:pPr>
    <w:r>
      <w:fldChar w:fldCharType="begin"/>
    </w:r>
    <w:r>
      <w:instrText xml:space="preserve"> PAGE  \* MERGEFORMAT </w:instrText>
    </w:r>
    <w:r>
      <w:fldChar w:fldCharType="separate"/>
    </w:r>
    <w: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F770">
    <w:pPr>
      <w:pStyle w:val="66"/>
    </w:pPr>
    <w:r>
      <w:t>DB21/ 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1720">
    <w:pPr>
      <w:pStyle w:val="41"/>
    </w:pPr>
    <w:r>
      <w:t>DB21/ 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91E9F"/>
    <w:multiLevelType w:val="multilevel"/>
    <w:tmpl w:val="03A91E9F"/>
    <w:lvl w:ilvl="0" w:tentative="0">
      <w:start w:val="1"/>
      <w:numFmt w:val="decimal"/>
      <w:pStyle w:val="2"/>
      <w:lvlText w:val="%1"/>
      <w:lvlJc w:val="left"/>
      <w:pPr>
        <w:tabs>
          <w:tab w:val="left" w:pos="0"/>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pStyle w:val="4"/>
      <w:lvlText w:val="%1.%2.%3"/>
      <w:lvlJc w:val="left"/>
      <w:pPr>
        <w:tabs>
          <w:tab w:val="left" w:pos="993"/>
        </w:tabs>
        <w:ind w:left="993" w:hanging="567"/>
      </w:pPr>
      <w:rPr>
        <w:rFonts w:hint="eastAsia"/>
      </w:rPr>
    </w:lvl>
    <w:lvl w:ilvl="3" w:tentative="0">
      <w:start w:val="1"/>
      <w:numFmt w:val="decimal"/>
      <w:lvlText w:val="%1.%2.%3.%4"/>
      <w:lvlJc w:val="left"/>
      <w:pPr>
        <w:tabs>
          <w:tab w:val="left" w:pos="1559"/>
        </w:tabs>
        <w:ind w:left="1559" w:hanging="708"/>
      </w:pPr>
      <w:rPr>
        <w:rFonts w:hint="eastAsia"/>
      </w:rPr>
    </w:lvl>
    <w:lvl w:ilvl="4" w:tentative="0">
      <w:start w:val="1"/>
      <w:numFmt w:val="decimal"/>
      <w:lvlText w:val="%1.%2.%3.%4.%5"/>
      <w:lvlJc w:val="left"/>
      <w:pPr>
        <w:tabs>
          <w:tab w:val="left" w:pos="2126"/>
        </w:tabs>
        <w:ind w:left="2126" w:hanging="850"/>
      </w:pPr>
      <w:rPr>
        <w:rFonts w:hint="eastAsia"/>
      </w:rPr>
    </w:lvl>
    <w:lvl w:ilvl="5" w:tentative="0">
      <w:start w:val="1"/>
      <w:numFmt w:val="decimal"/>
      <w:lvlText w:val="%1.%2.%3.%4.%5.%6"/>
      <w:lvlJc w:val="left"/>
      <w:pPr>
        <w:tabs>
          <w:tab w:val="left" w:pos="2835"/>
        </w:tabs>
        <w:ind w:left="2835" w:hanging="1134"/>
      </w:pPr>
      <w:rPr>
        <w:rFonts w:hint="eastAsia"/>
      </w:rPr>
    </w:lvl>
    <w:lvl w:ilvl="6" w:tentative="0">
      <w:start w:val="1"/>
      <w:numFmt w:val="decimal"/>
      <w:lvlText w:val="%1.%2.%3.%4.%5.%6.%7"/>
      <w:lvlJc w:val="left"/>
      <w:pPr>
        <w:tabs>
          <w:tab w:val="left" w:pos="3402"/>
        </w:tabs>
        <w:ind w:left="3402" w:hanging="1276"/>
      </w:pPr>
      <w:rPr>
        <w:rFonts w:hint="eastAsia"/>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
    <w:nsid w:val="079102AD"/>
    <w:multiLevelType w:val="multilevel"/>
    <w:tmpl w:val="079102AD"/>
    <w:lvl w:ilvl="0" w:tentative="0">
      <w:start w:val="1"/>
      <w:numFmt w:val="decimal"/>
      <w:pStyle w:val="5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297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3"/>
      <w:suff w:val="nothing"/>
      <w:lvlText w:val="%1.%2.%3　"/>
      <w:lvlJc w:val="left"/>
      <w:pPr>
        <w:ind w:left="568"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5"/>
      <w:suff w:val="nothing"/>
      <w:lvlText w:val="%1——"/>
      <w:lvlJc w:val="left"/>
      <w:pPr>
        <w:ind w:left="833" w:hanging="408"/>
      </w:pPr>
      <w:rPr>
        <w:rFonts w:hint="eastAsia"/>
      </w:rPr>
    </w:lvl>
    <w:lvl w:ilvl="1" w:tentative="0">
      <w:start w:val="1"/>
      <w:numFmt w:val="bullet"/>
      <w:pStyle w:val="46"/>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pStyle w:val="5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3"/>
      <w:lvlText w:val="%1"/>
      <w:lvlJc w:val="left"/>
      <w:pPr>
        <w:tabs>
          <w:tab w:val="left" w:pos="0"/>
        </w:tabs>
        <w:ind w:left="0" w:hanging="425"/>
      </w:pPr>
      <w:rPr>
        <w:rFonts w:hint="eastAsia"/>
      </w:rPr>
    </w:lvl>
    <w:lvl w:ilvl="1" w:tentative="0">
      <w:start w:val="1"/>
      <w:numFmt w:val="decimal"/>
      <w:pStyle w:val="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9"/>
  </w:num>
  <w:num w:numId="3">
    <w:abstractNumId w:val="6"/>
  </w:num>
  <w:num w:numId="4">
    <w:abstractNumId w:val="8"/>
  </w:num>
  <w:num w:numId="5">
    <w:abstractNumId w:val="3"/>
  </w:num>
  <w:num w:numId="6">
    <w:abstractNumId w:val="10"/>
  </w:num>
  <w:num w:numId="7">
    <w:abstractNumId w:val="17"/>
  </w:num>
  <w:num w:numId="8">
    <w:abstractNumId w:val="1"/>
  </w:num>
  <w:num w:numId="9">
    <w:abstractNumId w:val="11"/>
  </w:num>
  <w:num w:numId="10">
    <w:abstractNumId w:val="5"/>
  </w:num>
  <w:num w:numId="11">
    <w:abstractNumId w:val="15"/>
  </w:num>
  <w:num w:numId="12">
    <w:abstractNumId w:val="13"/>
  </w:num>
  <w:num w:numId="13">
    <w:abstractNumId w:val="16"/>
  </w:num>
  <w:num w:numId="14">
    <w:abstractNumId w:val="7"/>
  </w:num>
  <w:num w:numId="15">
    <w:abstractNumId w:val="2"/>
  </w:num>
  <w:num w:numId="16">
    <w:abstractNumId w:val="4"/>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100000" w:hash="XBJcLvy7dNzIwLfTqk8KieZtKoU=" w:salt="lrKPtrLejcCUmIW9QusgcQ=="/>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55"/>
    <w:rsid w:val="00000244"/>
    <w:rsid w:val="00001438"/>
    <w:rsid w:val="0000185F"/>
    <w:rsid w:val="0000586F"/>
    <w:rsid w:val="00013D86"/>
    <w:rsid w:val="00013E02"/>
    <w:rsid w:val="0002143C"/>
    <w:rsid w:val="00025A65"/>
    <w:rsid w:val="00026C31"/>
    <w:rsid w:val="00027280"/>
    <w:rsid w:val="00027D1C"/>
    <w:rsid w:val="000320A7"/>
    <w:rsid w:val="00035925"/>
    <w:rsid w:val="00067CDF"/>
    <w:rsid w:val="00074FBE"/>
    <w:rsid w:val="000759AE"/>
    <w:rsid w:val="00080024"/>
    <w:rsid w:val="00083A09"/>
    <w:rsid w:val="0009005E"/>
    <w:rsid w:val="00092857"/>
    <w:rsid w:val="000A20A9"/>
    <w:rsid w:val="000A36CB"/>
    <w:rsid w:val="000A3AC0"/>
    <w:rsid w:val="000A48B1"/>
    <w:rsid w:val="000B0724"/>
    <w:rsid w:val="000B3143"/>
    <w:rsid w:val="000C003D"/>
    <w:rsid w:val="000C6B05"/>
    <w:rsid w:val="000C6DD6"/>
    <w:rsid w:val="000C73D4"/>
    <w:rsid w:val="000D3D4C"/>
    <w:rsid w:val="000D3EFC"/>
    <w:rsid w:val="000D4F51"/>
    <w:rsid w:val="000D718B"/>
    <w:rsid w:val="000E0C46"/>
    <w:rsid w:val="000E2E99"/>
    <w:rsid w:val="000F030C"/>
    <w:rsid w:val="000F129C"/>
    <w:rsid w:val="001056DE"/>
    <w:rsid w:val="001124C0"/>
    <w:rsid w:val="00127A2F"/>
    <w:rsid w:val="0013175F"/>
    <w:rsid w:val="00132C14"/>
    <w:rsid w:val="001512B4"/>
    <w:rsid w:val="001620A5"/>
    <w:rsid w:val="00164E53"/>
    <w:rsid w:val="00165E88"/>
    <w:rsid w:val="0016699D"/>
    <w:rsid w:val="00175159"/>
    <w:rsid w:val="00176208"/>
    <w:rsid w:val="0018211B"/>
    <w:rsid w:val="001840D3"/>
    <w:rsid w:val="001900F8"/>
    <w:rsid w:val="00191258"/>
    <w:rsid w:val="00192680"/>
    <w:rsid w:val="00193037"/>
    <w:rsid w:val="00193A2C"/>
    <w:rsid w:val="001A288E"/>
    <w:rsid w:val="001A3A66"/>
    <w:rsid w:val="001B6DC2"/>
    <w:rsid w:val="001C149C"/>
    <w:rsid w:val="001C21AC"/>
    <w:rsid w:val="001C47BA"/>
    <w:rsid w:val="001C59EA"/>
    <w:rsid w:val="001D406C"/>
    <w:rsid w:val="001D41EE"/>
    <w:rsid w:val="001E0380"/>
    <w:rsid w:val="001E13B1"/>
    <w:rsid w:val="001F3A19"/>
    <w:rsid w:val="00221A5A"/>
    <w:rsid w:val="00234467"/>
    <w:rsid w:val="00237D8D"/>
    <w:rsid w:val="00241DA2"/>
    <w:rsid w:val="00247FEE"/>
    <w:rsid w:val="00250E7D"/>
    <w:rsid w:val="002565D5"/>
    <w:rsid w:val="002622C0"/>
    <w:rsid w:val="002778AE"/>
    <w:rsid w:val="0028269A"/>
    <w:rsid w:val="00283590"/>
    <w:rsid w:val="00286973"/>
    <w:rsid w:val="00292730"/>
    <w:rsid w:val="00294E70"/>
    <w:rsid w:val="002A048D"/>
    <w:rsid w:val="002A1924"/>
    <w:rsid w:val="002A7420"/>
    <w:rsid w:val="002B0F12"/>
    <w:rsid w:val="002B1308"/>
    <w:rsid w:val="002B4554"/>
    <w:rsid w:val="002B7427"/>
    <w:rsid w:val="002C72D8"/>
    <w:rsid w:val="002D11FA"/>
    <w:rsid w:val="002D4758"/>
    <w:rsid w:val="002E0DDF"/>
    <w:rsid w:val="002E2906"/>
    <w:rsid w:val="002E5635"/>
    <w:rsid w:val="002E64C3"/>
    <w:rsid w:val="002E6A2C"/>
    <w:rsid w:val="002F1D8C"/>
    <w:rsid w:val="002F21DA"/>
    <w:rsid w:val="002F30D0"/>
    <w:rsid w:val="00301F39"/>
    <w:rsid w:val="0031185E"/>
    <w:rsid w:val="003205E0"/>
    <w:rsid w:val="00325926"/>
    <w:rsid w:val="00327A8A"/>
    <w:rsid w:val="00336610"/>
    <w:rsid w:val="003424B8"/>
    <w:rsid w:val="0034335A"/>
    <w:rsid w:val="00343F73"/>
    <w:rsid w:val="00345060"/>
    <w:rsid w:val="0035127F"/>
    <w:rsid w:val="0035323B"/>
    <w:rsid w:val="003609D2"/>
    <w:rsid w:val="00363F22"/>
    <w:rsid w:val="003655D6"/>
    <w:rsid w:val="003704BE"/>
    <w:rsid w:val="00375564"/>
    <w:rsid w:val="00383191"/>
    <w:rsid w:val="00386DED"/>
    <w:rsid w:val="003912E7"/>
    <w:rsid w:val="00393947"/>
    <w:rsid w:val="003A2275"/>
    <w:rsid w:val="003A6A4F"/>
    <w:rsid w:val="003A7088"/>
    <w:rsid w:val="003B00DF"/>
    <w:rsid w:val="003B0D0B"/>
    <w:rsid w:val="003B1275"/>
    <w:rsid w:val="003B1778"/>
    <w:rsid w:val="003C04FF"/>
    <w:rsid w:val="003C11CB"/>
    <w:rsid w:val="003C25B9"/>
    <w:rsid w:val="003C75F3"/>
    <w:rsid w:val="003C7652"/>
    <w:rsid w:val="003C76A0"/>
    <w:rsid w:val="003C78A3"/>
    <w:rsid w:val="003E1867"/>
    <w:rsid w:val="003E1DE4"/>
    <w:rsid w:val="003E5729"/>
    <w:rsid w:val="003F4EE0"/>
    <w:rsid w:val="00401902"/>
    <w:rsid w:val="00401B4F"/>
    <w:rsid w:val="00402153"/>
    <w:rsid w:val="00402FC1"/>
    <w:rsid w:val="00413B78"/>
    <w:rsid w:val="00425082"/>
    <w:rsid w:val="00426084"/>
    <w:rsid w:val="00431DEB"/>
    <w:rsid w:val="00433DA3"/>
    <w:rsid w:val="00446B29"/>
    <w:rsid w:val="00453F9A"/>
    <w:rsid w:val="0046261B"/>
    <w:rsid w:val="00467B9B"/>
    <w:rsid w:val="00471E91"/>
    <w:rsid w:val="00474675"/>
    <w:rsid w:val="0047470C"/>
    <w:rsid w:val="004A35F9"/>
    <w:rsid w:val="004B24C1"/>
    <w:rsid w:val="004C292F"/>
    <w:rsid w:val="004F4556"/>
    <w:rsid w:val="00502267"/>
    <w:rsid w:val="00510280"/>
    <w:rsid w:val="00513D73"/>
    <w:rsid w:val="00514A43"/>
    <w:rsid w:val="005174E5"/>
    <w:rsid w:val="00522393"/>
    <w:rsid w:val="00522620"/>
    <w:rsid w:val="00525656"/>
    <w:rsid w:val="00534C02"/>
    <w:rsid w:val="0054264B"/>
    <w:rsid w:val="00543786"/>
    <w:rsid w:val="005533D7"/>
    <w:rsid w:val="005703DE"/>
    <w:rsid w:val="00572DC4"/>
    <w:rsid w:val="00581D1D"/>
    <w:rsid w:val="0058464E"/>
    <w:rsid w:val="005A01CB"/>
    <w:rsid w:val="005A483C"/>
    <w:rsid w:val="005A58FF"/>
    <w:rsid w:val="005A5EAF"/>
    <w:rsid w:val="005A64C0"/>
    <w:rsid w:val="005B3C11"/>
    <w:rsid w:val="005B7AE8"/>
    <w:rsid w:val="005C1C28"/>
    <w:rsid w:val="005C3101"/>
    <w:rsid w:val="005C6DB5"/>
    <w:rsid w:val="005D45D7"/>
    <w:rsid w:val="005E19E7"/>
    <w:rsid w:val="005E6843"/>
    <w:rsid w:val="005F0CCE"/>
    <w:rsid w:val="0061716C"/>
    <w:rsid w:val="006243A1"/>
    <w:rsid w:val="00632E56"/>
    <w:rsid w:val="00635CBA"/>
    <w:rsid w:val="0064338B"/>
    <w:rsid w:val="00646542"/>
    <w:rsid w:val="006504F4"/>
    <w:rsid w:val="006540D0"/>
    <w:rsid w:val="00654BC9"/>
    <w:rsid w:val="006552FD"/>
    <w:rsid w:val="00663AF3"/>
    <w:rsid w:val="00666B6C"/>
    <w:rsid w:val="00682682"/>
    <w:rsid w:val="00682702"/>
    <w:rsid w:val="00692368"/>
    <w:rsid w:val="00694BAB"/>
    <w:rsid w:val="006A2EBC"/>
    <w:rsid w:val="006A3CF4"/>
    <w:rsid w:val="006A5EA0"/>
    <w:rsid w:val="006A783B"/>
    <w:rsid w:val="006A7B33"/>
    <w:rsid w:val="006B4E13"/>
    <w:rsid w:val="006B75DD"/>
    <w:rsid w:val="006C67E0"/>
    <w:rsid w:val="006C7ABA"/>
    <w:rsid w:val="006D0D60"/>
    <w:rsid w:val="006D1122"/>
    <w:rsid w:val="006D3C00"/>
    <w:rsid w:val="006E3675"/>
    <w:rsid w:val="006E4A7F"/>
    <w:rsid w:val="006F2A54"/>
    <w:rsid w:val="00704DF6"/>
    <w:rsid w:val="0070651C"/>
    <w:rsid w:val="007132A3"/>
    <w:rsid w:val="00716421"/>
    <w:rsid w:val="00724EFB"/>
    <w:rsid w:val="007326DE"/>
    <w:rsid w:val="00736FB4"/>
    <w:rsid w:val="007419C3"/>
    <w:rsid w:val="007467A7"/>
    <w:rsid w:val="007469DD"/>
    <w:rsid w:val="00746A29"/>
    <w:rsid w:val="0074741B"/>
    <w:rsid w:val="0074759E"/>
    <w:rsid w:val="007478EA"/>
    <w:rsid w:val="0075415C"/>
    <w:rsid w:val="00763502"/>
    <w:rsid w:val="00786207"/>
    <w:rsid w:val="007913AB"/>
    <w:rsid w:val="007914F7"/>
    <w:rsid w:val="007A7903"/>
    <w:rsid w:val="007B1625"/>
    <w:rsid w:val="007B706E"/>
    <w:rsid w:val="007B71EB"/>
    <w:rsid w:val="007C6205"/>
    <w:rsid w:val="007C686A"/>
    <w:rsid w:val="007C6CD0"/>
    <w:rsid w:val="007C728E"/>
    <w:rsid w:val="007D2C53"/>
    <w:rsid w:val="007D3B49"/>
    <w:rsid w:val="007D3D60"/>
    <w:rsid w:val="007E1980"/>
    <w:rsid w:val="007E19EC"/>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61BDF"/>
    <w:rsid w:val="0087198C"/>
    <w:rsid w:val="00872C1F"/>
    <w:rsid w:val="00873B42"/>
    <w:rsid w:val="0088392B"/>
    <w:rsid w:val="00884131"/>
    <w:rsid w:val="008856D8"/>
    <w:rsid w:val="00887BBA"/>
    <w:rsid w:val="00892E82"/>
    <w:rsid w:val="008A36DF"/>
    <w:rsid w:val="008C1B58"/>
    <w:rsid w:val="008C39AE"/>
    <w:rsid w:val="008C590D"/>
    <w:rsid w:val="008E031B"/>
    <w:rsid w:val="008E7029"/>
    <w:rsid w:val="008E7EF6"/>
    <w:rsid w:val="008F1F98"/>
    <w:rsid w:val="008F6758"/>
    <w:rsid w:val="009040DD"/>
    <w:rsid w:val="00905B47"/>
    <w:rsid w:val="00912FE4"/>
    <w:rsid w:val="0091331C"/>
    <w:rsid w:val="00922661"/>
    <w:rsid w:val="009279DE"/>
    <w:rsid w:val="00930116"/>
    <w:rsid w:val="009410F4"/>
    <w:rsid w:val="0094212C"/>
    <w:rsid w:val="00946D07"/>
    <w:rsid w:val="009504C6"/>
    <w:rsid w:val="00954689"/>
    <w:rsid w:val="009566A5"/>
    <w:rsid w:val="009617C9"/>
    <w:rsid w:val="00961C93"/>
    <w:rsid w:val="00965324"/>
    <w:rsid w:val="0097091E"/>
    <w:rsid w:val="009760D3"/>
    <w:rsid w:val="00977132"/>
    <w:rsid w:val="0098063F"/>
    <w:rsid w:val="00981A4B"/>
    <w:rsid w:val="00982501"/>
    <w:rsid w:val="00985D54"/>
    <w:rsid w:val="009877D3"/>
    <w:rsid w:val="00994E8F"/>
    <w:rsid w:val="009951DC"/>
    <w:rsid w:val="009959BB"/>
    <w:rsid w:val="00997158"/>
    <w:rsid w:val="009A2263"/>
    <w:rsid w:val="009A3A7C"/>
    <w:rsid w:val="009B2ADB"/>
    <w:rsid w:val="009B603A"/>
    <w:rsid w:val="009C2D0E"/>
    <w:rsid w:val="009C3DAC"/>
    <w:rsid w:val="009C42E0"/>
    <w:rsid w:val="009C6EDC"/>
    <w:rsid w:val="009D5362"/>
    <w:rsid w:val="009E055A"/>
    <w:rsid w:val="009E1415"/>
    <w:rsid w:val="009E54AF"/>
    <w:rsid w:val="009E5A5C"/>
    <w:rsid w:val="009E6116"/>
    <w:rsid w:val="00A01235"/>
    <w:rsid w:val="00A02E43"/>
    <w:rsid w:val="00A065F9"/>
    <w:rsid w:val="00A07F34"/>
    <w:rsid w:val="00A12864"/>
    <w:rsid w:val="00A1541F"/>
    <w:rsid w:val="00A22154"/>
    <w:rsid w:val="00A25C38"/>
    <w:rsid w:val="00A348DF"/>
    <w:rsid w:val="00A36BBE"/>
    <w:rsid w:val="00A4307A"/>
    <w:rsid w:val="00A44658"/>
    <w:rsid w:val="00A47EBB"/>
    <w:rsid w:val="00A50671"/>
    <w:rsid w:val="00A51CDD"/>
    <w:rsid w:val="00A6730D"/>
    <w:rsid w:val="00A71625"/>
    <w:rsid w:val="00A71B9B"/>
    <w:rsid w:val="00A751C7"/>
    <w:rsid w:val="00A87844"/>
    <w:rsid w:val="00A940F7"/>
    <w:rsid w:val="00AA038C"/>
    <w:rsid w:val="00AA7A09"/>
    <w:rsid w:val="00AB3958"/>
    <w:rsid w:val="00AB3B50"/>
    <w:rsid w:val="00AC05B1"/>
    <w:rsid w:val="00AD356C"/>
    <w:rsid w:val="00AE2914"/>
    <w:rsid w:val="00AE56AD"/>
    <w:rsid w:val="00AE58A6"/>
    <w:rsid w:val="00AE6D15"/>
    <w:rsid w:val="00B04182"/>
    <w:rsid w:val="00B07AE3"/>
    <w:rsid w:val="00B11430"/>
    <w:rsid w:val="00B15322"/>
    <w:rsid w:val="00B15F2B"/>
    <w:rsid w:val="00B32CD0"/>
    <w:rsid w:val="00B353EB"/>
    <w:rsid w:val="00B41BD8"/>
    <w:rsid w:val="00B42A4F"/>
    <w:rsid w:val="00B439C4"/>
    <w:rsid w:val="00B4535E"/>
    <w:rsid w:val="00B52A8C"/>
    <w:rsid w:val="00B52B55"/>
    <w:rsid w:val="00B636A8"/>
    <w:rsid w:val="00B665C6"/>
    <w:rsid w:val="00B715F2"/>
    <w:rsid w:val="00B805AF"/>
    <w:rsid w:val="00B81427"/>
    <w:rsid w:val="00B869EC"/>
    <w:rsid w:val="00B87ABB"/>
    <w:rsid w:val="00B9397A"/>
    <w:rsid w:val="00B959F2"/>
    <w:rsid w:val="00B9633D"/>
    <w:rsid w:val="00BA0485"/>
    <w:rsid w:val="00BA2EBE"/>
    <w:rsid w:val="00BB0F28"/>
    <w:rsid w:val="00BB1A83"/>
    <w:rsid w:val="00BB458A"/>
    <w:rsid w:val="00BC343F"/>
    <w:rsid w:val="00BD00D3"/>
    <w:rsid w:val="00BD1659"/>
    <w:rsid w:val="00BD3AA9"/>
    <w:rsid w:val="00BD4A18"/>
    <w:rsid w:val="00BD6DB2"/>
    <w:rsid w:val="00BE006D"/>
    <w:rsid w:val="00BE11CF"/>
    <w:rsid w:val="00BE1B03"/>
    <w:rsid w:val="00BE21AB"/>
    <w:rsid w:val="00BE55CB"/>
    <w:rsid w:val="00BE6973"/>
    <w:rsid w:val="00BF617A"/>
    <w:rsid w:val="00C0379D"/>
    <w:rsid w:val="00C03931"/>
    <w:rsid w:val="00C05FE3"/>
    <w:rsid w:val="00C129A4"/>
    <w:rsid w:val="00C2136D"/>
    <w:rsid w:val="00C214EE"/>
    <w:rsid w:val="00C2314B"/>
    <w:rsid w:val="00C24971"/>
    <w:rsid w:val="00C24FA0"/>
    <w:rsid w:val="00C26BE5"/>
    <w:rsid w:val="00C26E4D"/>
    <w:rsid w:val="00C27909"/>
    <w:rsid w:val="00C27B03"/>
    <w:rsid w:val="00C314E1"/>
    <w:rsid w:val="00C33133"/>
    <w:rsid w:val="00C34397"/>
    <w:rsid w:val="00C4095D"/>
    <w:rsid w:val="00C526C9"/>
    <w:rsid w:val="00C54436"/>
    <w:rsid w:val="00C601D2"/>
    <w:rsid w:val="00C6570B"/>
    <w:rsid w:val="00C65BCC"/>
    <w:rsid w:val="00C66970"/>
    <w:rsid w:val="00C72EEC"/>
    <w:rsid w:val="00C84B72"/>
    <w:rsid w:val="00C8691C"/>
    <w:rsid w:val="00CA168A"/>
    <w:rsid w:val="00CA357E"/>
    <w:rsid w:val="00CA44F9"/>
    <w:rsid w:val="00CA4A69"/>
    <w:rsid w:val="00CA7E10"/>
    <w:rsid w:val="00CC3E0C"/>
    <w:rsid w:val="00CC497F"/>
    <w:rsid w:val="00CC58D3"/>
    <w:rsid w:val="00CC784D"/>
    <w:rsid w:val="00CD7FAD"/>
    <w:rsid w:val="00D0337B"/>
    <w:rsid w:val="00D073FF"/>
    <w:rsid w:val="00D079B2"/>
    <w:rsid w:val="00D114E9"/>
    <w:rsid w:val="00D245EF"/>
    <w:rsid w:val="00D27B00"/>
    <w:rsid w:val="00D429C6"/>
    <w:rsid w:val="00D47748"/>
    <w:rsid w:val="00D53E46"/>
    <w:rsid w:val="00D54CC3"/>
    <w:rsid w:val="00D6041A"/>
    <w:rsid w:val="00D633EB"/>
    <w:rsid w:val="00D703C6"/>
    <w:rsid w:val="00D8267B"/>
    <w:rsid w:val="00D82FF7"/>
    <w:rsid w:val="00D847FE"/>
    <w:rsid w:val="00D964EA"/>
    <w:rsid w:val="00D966D0"/>
    <w:rsid w:val="00DA0C59"/>
    <w:rsid w:val="00DA3991"/>
    <w:rsid w:val="00DB0757"/>
    <w:rsid w:val="00DB5E8A"/>
    <w:rsid w:val="00DB7E6C"/>
    <w:rsid w:val="00DD5A29"/>
    <w:rsid w:val="00DD5D9D"/>
    <w:rsid w:val="00DE35CB"/>
    <w:rsid w:val="00DF21E9"/>
    <w:rsid w:val="00E00F14"/>
    <w:rsid w:val="00E06386"/>
    <w:rsid w:val="00E21457"/>
    <w:rsid w:val="00E24EB4"/>
    <w:rsid w:val="00E31FC1"/>
    <w:rsid w:val="00E320ED"/>
    <w:rsid w:val="00E33AFB"/>
    <w:rsid w:val="00E34218"/>
    <w:rsid w:val="00E46282"/>
    <w:rsid w:val="00E5216E"/>
    <w:rsid w:val="00E577F8"/>
    <w:rsid w:val="00E82344"/>
    <w:rsid w:val="00E84C82"/>
    <w:rsid w:val="00E84D64"/>
    <w:rsid w:val="00E87408"/>
    <w:rsid w:val="00E87736"/>
    <w:rsid w:val="00E914C4"/>
    <w:rsid w:val="00E934F5"/>
    <w:rsid w:val="00E96961"/>
    <w:rsid w:val="00EA72EC"/>
    <w:rsid w:val="00EB11CB"/>
    <w:rsid w:val="00EB275A"/>
    <w:rsid w:val="00EB7018"/>
    <w:rsid w:val="00EB786A"/>
    <w:rsid w:val="00EC1578"/>
    <w:rsid w:val="00EC1C72"/>
    <w:rsid w:val="00EC39A9"/>
    <w:rsid w:val="00EC3CC9"/>
    <w:rsid w:val="00EC4C08"/>
    <w:rsid w:val="00EC680A"/>
    <w:rsid w:val="00EE2BED"/>
    <w:rsid w:val="00EE3080"/>
    <w:rsid w:val="00EE374B"/>
    <w:rsid w:val="00EF42FD"/>
    <w:rsid w:val="00F056CB"/>
    <w:rsid w:val="00F11BB5"/>
    <w:rsid w:val="00F1417B"/>
    <w:rsid w:val="00F34B99"/>
    <w:rsid w:val="00F37679"/>
    <w:rsid w:val="00F52DAB"/>
    <w:rsid w:val="00F543F0"/>
    <w:rsid w:val="00F81D29"/>
    <w:rsid w:val="00F8263D"/>
    <w:rsid w:val="00F91C4D"/>
    <w:rsid w:val="00F92FD9"/>
    <w:rsid w:val="00F93C3F"/>
    <w:rsid w:val="00F94830"/>
    <w:rsid w:val="00F96E3F"/>
    <w:rsid w:val="00FA6684"/>
    <w:rsid w:val="00FA6B09"/>
    <w:rsid w:val="00FA731E"/>
    <w:rsid w:val="00FB2B38"/>
    <w:rsid w:val="00FB5C99"/>
    <w:rsid w:val="00FC6358"/>
    <w:rsid w:val="00FD320D"/>
    <w:rsid w:val="00FE23DE"/>
    <w:rsid w:val="00FF2916"/>
    <w:rsid w:val="2B7B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6"/>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137"/>
    <w:qFormat/>
    <w:uiPriority w:val="0"/>
    <w:pPr>
      <w:keepNext/>
      <w:keepLines/>
      <w:numPr>
        <w:ilvl w:val="1"/>
        <w:numId w:val="1"/>
      </w:numPr>
      <w:spacing w:before="260" w:after="260" w:line="416" w:lineRule="auto"/>
      <w:outlineLvl w:val="1"/>
    </w:pPr>
    <w:rPr>
      <w:rFonts w:ascii="Arial" w:hAnsi="Arial" w:eastAsia="黑体"/>
      <w:b/>
      <w:bCs/>
      <w:kern w:val="0"/>
      <w:sz w:val="32"/>
      <w:szCs w:val="32"/>
      <w:lang w:val="zh-CN" w:eastAsia="zh-CN"/>
    </w:rPr>
  </w:style>
  <w:style w:type="paragraph" w:styleId="4">
    <w:name w:val="heading 3"/>
    <w:basedOn w:val="1"/>
    <w:next w:val="1"/>
    <w:link w:val="138"/>
    <w:qFormat/>
    <w:uiPriority w:val="0"/>
    <w:pPr>
      <w:keepNext/>
      <w:keepLines/>
      <w:numPr>
        <w:ilvl w:val="2"/>
        <w:numId w:val="1"/>
      </w:numPr>
      <w:spacing w:before="260" w:after="260" w:line="416" w:lineRule="auto"/>
      <w:outlineLvl w:val="2"/>
    </w:pPr>
    <w:rPr>
      <w:b/>
      <w:bCs/>
      <w:kern w:val="0"/>
      <w:sz w:val="32"/>
      <w:szCs w:val="32"/>
      <w:lang w:val="zh-CN" w:eastAsia="zh-CN"/>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semiHidden/>
    <w:uiPriority w:val="0"/>
    <w:pPr>
      <w:tabs>
        <w:tab w:val="right" w:leader="dot" w:pos="9241"/>
      </w:tabs>
      <w:ind w:firstLine="505" w:firstLineChars="500"/>
      <w:jc w:val="left"/>
    </w:pPr>
    <w:rPr>
      <w:rFonts w:ascii="宋体"/>
      <w:szCs w:val="21"/>
    </w:rPr>
  </w:style>
  <w:style w:type="paragraph" w:styleId="6">
    <w:name w:val="index 8"/>
    <w:basedOn w:val="1"/>
    <w:next w:val="1"/>
    <w:autoRedefine/>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autoRedefine/>
    <w:uiPriority w:val="0"/>
    <w:pPr>
      <w:ind w:left="1050" w:hanging="210"/>
      <w:jc w:val="left"/>
    </w:pPr>
    <w:rPr>
      <w:rFonts w:ascii="Calibri" w:hAnsi="Calibri"/>
      <w:sz w:val="20"/>
      <w:szCs w:val="20"/>
    </w:rPr>
  </w:style>
  <w:style w:type="paragraph" w:styleId="9">
    <w:name w:val="Document Map"/>
    <w:basedOn w:val="1"/>
    <w:semiHidden/>
    <w:uiPriority w:val="0"/>
    <w:pPr>
      <w:shd w:val="clear" w:color="auto" w:fill="000080"/>
    </w:pPr>
  </w:style>
  <w:style w:type="paragraph" w:styleId="10">
    <w:name w:val="index 6"/>
    <w:basedOn w:val="1"/>
    <w:next w:val="1"/>
    <w:autoRedefine/>
    <w:uiPriority w:val="0"/>
    <w:pPr>
      <w:ind w:left="1260" w:hanging="210"/>
      <w:jc w:val="left"/>
    </w:pPr>
    <w:rPr>
      <w:rFonts w:ascii="Calibri" w:hAnsi="Calibri"/>
      <w:sz w:val="20"/>
      <w:szCs w:val="20"/>
    </w:rPr>
  </w:style>
  <w:style w:type="paragraph" w:styleId="11">
    <w:name w:val="index 4"/>
    <w:basedOn w:val="1"/>
    <w:next w:val="1"/>
    <w:autoRedefine/>
    <w:uiPriority w:val="0"/>
    <w:pPr>
      <w:ind w:left="840" w:hanging="210"/>
      <w:jc w:val="left"/>
    </w:pPr>
    <w:rPr>
      <w:rFonts w:ascii="Calibri" w:hAnsi="Calibri"/>
      <w:sz w:val="20"/>
      <w:szCs w:val="20"/>
    </w:rPr>
  </w:style>
  <w:style w:type="paragraph" w:styleId="12">
    <w:name w:val="toc 5"/>
    <w:basedOn w:val="1"/>
    <w:next w:val="1"/>
    <w:autoRedefine/>
    <w:semiHidden/>
    <w:uiPriority w:val="0"/>
    <w:pPr>
      <w:tabs>
        <w:tab w:val="right" w:leader="dot" w:pos="9241"/>
      </w:tabs>
      <w:ind w:firstLine="300" w:firstLineChars="300"/>
      <w:jc w:val="left"/>
    </w:pPr>
    <w:rPr>
      <w:rFonts w:ascii="宋体"/>
      <w:szCs w:val="21"/>
    </w:rPr>
  </w:style>
  <w:style w:type="paragraph" w:styleId="13">
    <w:name w:val="toc 3"/>
    <w:basedOn w:val="1"/>
    <w:next w:val="1"/>
    <w:autoRedefine/>
    <w:semiHidden/>
    <w:uiPriority w:val="0"/>
    <w:pPr>
      <w:tabs>
        <w:tab w:val="right" w:leader="dot" w:pos="9241"/>
      </w:tabs>
      <w:ind w:firstLine="102" w:firstLineChars="100"/>
      <w:jc w:val="left"/>
    </w:pPr>
    <w:rPr>
      <w:rFonts w:ascii="宋体"/>
      <w:szCs w:val="21"/>
    </w:rPr>
  </w:style>
  <w:style w:type="paragraph" w:styleId="14">
    <w:name w:val="toc 8"/>
    <w:basedOn w:val="1"/>
    <w:next w:val="1"/>
    <w:autoRedefine/>
    <w:semiHidden/>
    <w:uiPriority w:val="0"/>
    <w:pPr>
      <w:tabs>
        <w:tab w:val="right" w:leader="dot" w:pos="9241"/>
      </w:tabs>
      <w:ind w:firstLine="607" w:firstLineChars="600"/>
      <w:jc w:val="left"/>
    </w:pPr>
    <w:rPr>
      <w:rFonts w:ascii="宋体"/>
      <w:szCs w:val="21"/>
    </w:rPr>
  </w:style>
  <w:style w:type="paragraph" w:styleId="15">
    <w:name w:val="index 3"/>
    <w:basedOn w:val="1"/>
    <w:next w:val="1"/>
    <w:autoRedefine/>
    <w:uiPriority w:val="0"/>
    <w:pPr>
      <w:ind w:left="630" w:hanging="210"/>
      <w:jc w:val="left"/>
    </w:pPr>
    <w:rPr>
      <w:rFonts w:ascii="Calibri" w:hAnsi="Calibri"/>
      <w:sz w:val="20"/>
      <w:szCs w:val="20"/>
    </w:rPr>
  </w:style>
  <w:style w:type="paragraph" w:styleId="16">
    <w:name w:val="endnote text"/>
    <w:basedOn w:val="1"/>
    <w:semiHidden/>
    <w:uiPriority w:val="0"/>
    <w:pPr>
      <w:snapToGrid w:val="0"/>
      <w:jc w:val="left"/>
    </w:pPr>
  </w:style>
  <w:style w:type="paragraph" w:styleId="17">
    <w:name w:val="footer"/>
    <w:basedOn w:val="1"/>
    <w:uiPriority w:val="0"/>
    <w:pPr>
      <w:snapToGrid w:val="0"/>
      <w:ind w:right="210" w:rightChars="100"/>
      <w:jc w:val="right"/>
    </w:pPr>
    <w:rPr>
      <w:sz w:val="18"/>
      <w:szCs w:val="18"/>
    </w:rPr>
  </w:style>
  <w:style w:type="paragraph" w:styleId="18">
    <w:name w:val="header"/>
    <w:basedOn w:val="1"/>
    <w:uiPriority w:val="0"/>
    <w:pPr>
      <w:snapToGrid w:val="0"/>
      <w:jc w:val="left"/>
    </w:pPr>
    <w:rPr>
      <w:sz w:val="18"/>
      <w:szCs w:val="18"/>
    </w:rPr>
  </w:style>
  <w:style w:type="paragraph" w:styleId="19">
    <w:name w:val="toc 1"/>
    <w:basedOn w:val="1"/>
    <w:next w:val="1"/>
    <w:autoRedefine/>
    <w:uiPriority w:val="39"/>
    <w:pPr>
      <w:tabs>
        <w:tab w:val="right" w:leader="dot" w:pos="9241"/>
      </w:tabs>
      <w:spacing w:before="25" w:beforeLines="25" w:after="25" w:afterLines="25"/>
      <w:jc w:val="left"/>
    </w:pPr>
    <w:rPr>
      <w:rFonts w:ascii="宋体"/>
      <w:szCs w:val="21"/>
    </w:rPr>
  </w:style>
  <w:style w:type="paragraph" w:styleId="20">
    <w:name w:val="toc 4"/>
    <w:basedOn w:val="1"/>
    <w:next w:val="1"/>
    <w:autoRedefine/>
    <w:semiHidden/>
    <w:uiPriority w:val="0"/>
    <w:pPr>
      <w:tabs>
        <w:tab w:val="right" w:leader="dot" w:pos="9241"/>
      </w:tabs>
      <w:ind w:firstLine="198" w:firstLineChars="200"/>
      <w:jc w:val="left"/>
    </w:pPr>
    <w:rPr>
      <w:rFonts w:ascii="宋体"/>
      <w:szCs w:val="21"/>
    </w:rPr>
  </w:style>
  <w:style w:type="paragraph" w:styleId="21">
    <w:name w:val="index heading"/>
    <w:basedOn w:val="1"/>
    <w:next w:val="22"/>
    <w:uiPriority w:val="0"/>
    <w:pPr>
      <w:spacing w:before="120" w:after="120"/>
      <w:jc w:val="center"/>
    </w:pPr>
    <w:rPr>
      <w:rFonts w:ascii="Calibri" w:hAnsi="Calibri"/>
      <w:b/>
      <w:bCs/>
      <w:iCs/>
      <w:szCs w:val="20"/>
    </w:rPr>
  </w:style>
  <w:style w:type="paragraph" w:styleId="22">
    <w:name w:val="index 1"/>
    <w:basedOn w:val="1"/>
    <w:next w:val="23"/>
    <w:uiPriority w:val="0"/>
    <w:pPr>
      <w:tabs>
        <w:tab w:val="right" w:leader="dot" w:pos="9299"/>
      </w:tabs>
      <w:jc w:val="left"/>
    </w:pPr>
    <w:rPr>
      <w:rFonts w:ascii="宋体"/>
      <w:szCs w:val="21"/>
    </w:rPr>
  </w:style>
  <w:style w:type="paragraph" w:customStyle="1" w:styleId="23">
    <w:name w:val="段"/>
    <w:link w:val="38"/>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uiPriority w:val="0"/>
    <w:pPr>
      <w:numPr>
        <w:ilvl w:val="0"/>
        <w:numId w:val="2"/>
      </w:numPr>
      <w:snapToGrid w:val="0"/>
      <w:jc w:val="left"/>
    </w:pPr>
    <w:rPr>
      <w:rFonts w:ascii="宋体"/>
      <w:sz w:val="18"/>
      <w:szCs w:val="18"/>
    </w:rPr>
  </w:style>
  <w:style w:type="paragraph" w:styleId="25">
    <w:name w:val="toc 6"/>
    <w:basedOn w:val="1"/>
    <w:next w:val="1"/>
    <w:autoRedefine/>
    <w:semiHidden/>
    <w:uiPriority w:val="0"/>
    <w:pPr>
      <w:tabs>
        <w:tab w:val="right" w:leader="dot" w:pos="9241"/>
      </w:tabs>
      <w:ind w:firstLine="403" w:firstLineChars="400"/>
      <w:jc w:val="left"/>
    </w:pPr>
    <w:rPr>
      <w:rFonts w:ascii="宋体"/>
      <w:szCs w:val="21"/>
    </w:rPr>
  </w:style>
  <w:style w:type="paragraph" w:styleId="26">
    <w:name w:val="index 7"/>
    <w:basedOn w:val="1"/>
    <w:next w:val="1"/>
    <w:autoRedefine/>
    <w:uiPriority w:val="0"/>
    <w:pPr>
      <w:ind w:left="1470" w:hanging="210"/>
      <w:jc w:val="left"/>
    </w:pPr>
    <w:rPr>
      <w:rFonts w:ascii="Calibri" w:hAnsi="Calibri"/>
      <w:sz w:val="20"/>
      <w:szCs w:val="20"/>
    </w:rPr>
  </w:style>
  <w:style w:type="paragraph" w:styleId="27">
    <w:name w:val="index 9"/>
    <w:basedOn w:val="1"/>
    <w:next w:val="1"/>
    <w:autoRedefine/>
    <w:uiPriority w:val="0"/>
    <w:pPr>
      <w:ind w:left="1890" w:hanging="210"/>
      <w:jc w:val="left"/>
    </w:pPr>
    <w:rPr>
      <w:rFonts w:ascii="Calibri" w:hAnsi="Calibri"/>
      <w:sz w:val="20"/>
      <w:szCs w:val="20"/>
    </w:rPr>
  </w:style>
  <w:style w:type="paragraph" w:styleId="28">
    <w:name w:val="toc 2"/>
    <w:basedOn w:val="1"/>
    <w:next w:val="1"/>
    <w:autoRedefine/>
    <w:semiHidden/>
    <w:uiPriority w:val="0"/>
    <w:pPr>
      <w:tabs>
        <w:tab w:val="right" w:leader="dot" w:pos="9241"/>
      </w:tabs>
    </w:pPr>
    <w:rPr>
      <w:rFonts w:ascii="宋体"/>
      <w:szCs w:val="21"/>
    </w:rPr>
  </w:style>
  <w:style w:type="paragraph" w:styleId="29">
    <w:name w:val="toc 9"/>
    <w:basedOn w:val="1"/>
    <w:next w:val="1"/>
    <w:autoRedefine/>
    <w:semiHidden/>
    <w:uiPriority w:val="0"/>
    <w:pPr>
      <w:ind w:left="1470"/>
      <w:jc w:val="left"/>
    </w:pPr>
    <w:rPr>
      <w:sz w:val="20"/>
      <w:szCs w:val="20"/>
    </w:rPr>
  </w:style>
  <w:style w:type="paragraph" w:styleId="30">
    <w:name w:val="index 2"/>
    <w:basedOn w:val="1"/>
    <w:next w:val="1"/>
    <w:autoRedefine/>
    <w:uiPriority w:val="0"/>
    <w:pPr>
      <w:ind w:left="420" w:hanging="210"/>
      <w:jc w:val="left"/>
    </w:pPr>
    <w:rPr>
      <w:rFonts w:ascii="Calibri" w:hAnsi="Calibri"/>
      <w:sz w:val="20"/>
      <w:szCs w:val="20"/>
    </w:rPr>
  </w:style>
  <w:style w:type="table" w:styleId="32">
    <w:name w:val="Table Grid"/>
    <w:basedOn w:val="31"/>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iPriority w:val="0"/>
    <w:rPr>
      <w:vertAlign w:val="superscript"/>
    </w:rPr>
  </w:style>
  <w:style w:type="character" w:styleId="35">
    <w:name w:val="page number"/>
    <w:uiPriority w:val="0"/>
    <w:rPr>
      <w:rFonts w:ascii="Times New Roman" w:hAnsi="Times New Roman" w:eastAsia="宋体"/>
      <w:sz w:val="18"/>
    </w:rPr>
  </w:style>
  <w:style w:type="character" w:styleId="36">
    <w:name w:val="Hyperlink"/>
    <w:uiPriority w:val="99"/>
    <w:rPr>
      <w:color w:val="0000FF"/>
      <w:spacing w:val="0"/>
      <w:w w:val="100"/>
      <w:szCs w:val="21"/>
      <w:u w:val="single"/>
    </w:rPr>
  </w:style>
  <w:style w:type="character" w:styleId="37">
    <w:name w:val="footnote reference"/>
    <w:semiHidden/>
    <w:uiPriority w:val="0"/>
    <w:rPr>
      <w:vertAlign w:val="superscript"/>
    </w:rPr>
  </w:style>
  <w:style w:type="character" w:customStyle="1" w:styleId="38">
    <w:name w:val="段 Char"/>
    <w:link w:val="23"/>
    <w:uiPriority w:val="0"/>
    <w:rPr>
      <w:rFonts w:ascii="宋体"/>
      <w:sz w:val="21"/>
      <w:lang w:val="en-US" w:eastAsia="zh-CN" w:bidi="ar-SA"/>
    </w:rPr>
  </w:style>
  <w:style w:type="paragraph" w:customStyle="1" w:styleId="39">
    <w:name w:val="一级条标题"/>
    <w:next w:val="23"/>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0">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2">
    <w:name w:val="章标题"/>
    <w:next w:val="23"/>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3">
    <w:name w:val="二级条标题"/>
    <w:basedOn w:val="39"/>
    <w:next w:val="23"/>
    <w:uiPriority w:val="0"/>
    <w:pPr>
      <w:numPr>
        <w:ilvl w:val="2"/>
      </w:numPr>
      <w:spacing w:before="50" w:after="50"/>
      <w:outlineLvl w:val="3"/>
    </w:pPr>
  </w:style>
  <w:style w:type="paragraph" w:customStyle="1" w:styleId="4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列项——（一级）"/>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46">
    <w:name w:val="列项●（二级）"/>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47">
    <w:name w:val="目次、标准名称标题"/>
    <w:basedOn w:val="1"/>
    <w:next w:val="23"/>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
    <w:name w:val="三级条标题"/>
    <w:basedOn w:val="43"/>
    <w:next w:val="23"/>
    <w:uiPriority w:val="0"/>
    <w:pPr>
      <w:numPr>
        <w:ilvl w:val="3"/>
      </w:numPr>
      <w:outlineLvl w:val="4"/>
    </w:pPr>
  </w:style>
  <w:style w:type="paragraph" w:customStyle="1" w:styleId="49">
    <w:name w:val="示例"/>
    <w:next w:val="50"/>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50">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51">
    <w:name w:val="数字编号列项（二级）"/>
    <w:uiPriority w:val="0"/>
    <w:pPr>
      <w:numPr>
        <w:ilvl w:val="1"/>
        <w:numId w:val="6"/>
      </w:numPr>
      <w:jc w:val="both"/>
    </w:pPr>
    <w:rPr>
      <w:rFonts w:ascii="宋体" w:hAnsi="Times New Roman" w:eastAsia="宋体" w:cs="Times New Roman"/>
      <w:sz w:val="21"/>
      <w:lang w:val="en-US" w:eastAsia="zh-CN" w:bidi="ar-SA"/>
    </w:rPr>
  </w:style>
  <w:style w:type="paragraph" w:customStyle="1" w:styleId="52">
    <w:name w:val="四级条标题"/>
    <w:basedOn w:val="48"/>
    <w:next w:val="23"/>
    <w:uiPriority w:val="0"/>
    <w:pPr>
      <w:numPr>
        <w:ilvl w:val="4"/>
      </w:numPr>
      <w:outlineLvl w:val="5"/>
    </w:pPr>
  </w:style>
  <w:style w:type="paragraph" w:customStyle="1" w:styleId="53">
    <w:name w:val="五级条标题"/>
    <w:basedOn w:val="52"/>
    <w:next w:val="23"/>
    <w:uiPriority w:val="0"/>
    <w:pPr>
      <w:numPr>
        <w:ilvl w:val="5"/>
      </w:numPr>
      <w:outlineLvl w:val="6"/>
    </w:pPr>
  </w:style>
  <w:style w:type="paragraph" w:customStyle="1" w:styleId="54">
    <w:name w:val="注："/>
    <w:next w:val="23"/>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5">
    <w:name w:val="注×："/>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56">
    <w:name w:val="字母编号列项（一级）"/>
    <w:uiPriority w:val="0"/>
    <w:pPr>
      <w:numPr>
        <w:ilvl w:val="0"/>
        <w:numId w:val="6"/>
      </w:numPr>
      <w:jc w:val="both"/>
    </w:pPr>
    <w:rPr>
      <w:rFonts w:ascii="宋体" w:hAnsi="Times New Roman" w:eastAsia="宋体" w:cs="Times New Roman"/>
      <w:sz w:val="21"/>
      <w:lang w:val="en-US" w:eastAsia="zh-CN" w:bidi="ar-SA"/>
    </w:rPr>
  </w:style>
  <w:style w:type="paragraph" w:customStyle="1" w:styleId="57">
    <w:name w:val="列项◆（三级）"/>
    <w:basedOn w:val="1"/>
    <w:uiPriority w:val="0"/>
    <w:pPr>
      <w:numPr>
        <w:ilvl w:val="2"/>
        <w:numId w:val="4"/>
      </w:numPr>
    </w:pPr>
    <w:rPr>
      <w:rFonts w:ascii="宋体"/>
      <w:szCs w:val="21"/>
    </w:rPr>
  </w:style>
  <w:style w:type="paragraph" w:customStyle="1" w:styleId="58">
    <w:name w:val="编号列项（三级）"/>
    <w:uiPriority w:val="0"/>
    <w:pPr>
      <w:numPr>
        <w:ilvl w:val="2"/>
        <w:numId w:val="6"/>
      </w:numPr>
    </w:pPr>
    <w:rPr>
      <w:rFonts w:ascii="宋体" w:hAnsi="Times New Roman" w:eastAsia="宋体" w:cs="Times New Roman"/>
      <w:sz w:val="21"/>
      <w:lang w:val="en-US" w:eastAsia="zh-CN" w:bidi="ar-SA"/>
    </w:rPr>
  </w:style>
  <w:style w:type="paragraph" w:customStyle="1" w:styleId="59">
    <w:name w:val="示例×："/>
    <w:basedOn w:val="42"/>
    <w:qFormat/>
    <w:uiPriority w:val="0"/>
    <w:pPr>
      <w:numPr>
        <w:numId w:val="9"/>
      </w:numPr>
      <w:spacing w:before="0" w:beforeLines="0" w:after="0" w:afterLines="0"/>
      <w:outlineLvl w:val="9"/>
    </w:pPr>
    <w:rPr>
      <w:rFonts w:ascii="宋体" w:eastAsia="宋体"/>
      <w:sz w:val="18"/>
      <w:szCs w:val="18"/>
    </w:rPr>
  </w:style>
  <w:style w:type="paragraph" w:customStyle="1" w:styleId="60">
    <w:name w:val="二级无"/>
    <w:basedOn w:val="43"/>
    <w:uiPriority w:val="0"/>
    <w:pPr>
      <w:spacing w:before="0" w:beforeLines="0" w:after="0" w:afterLines="0"/>
    </w:pPr>
    <w:rPr>
      <w:rFonts w:ascii="宋体" w:eastAsia="宋体"/>
    </w:rPr>
  </w:style>
  <w:style w:type="paragraph" w:customStyle="1" w:styleId="61">
    <w:name w:val="注：（正文）"/>
    <w:basedOn w:val="54"/>
    <w:next w:val="23"/>
    <w:uiPriority w:val="0"/>
  </w:style>
  <w:style w:type="paragraph" w:customStyle="1" w:styleId="62">
    <w:name w:val="注×：（正文）"/>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3">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41"/>
    <w:next w:val="1"/>
    <w:uiPriority w:val="0"/>
    <w:pPr>
      <w:jc w:val="left"/>
    </w:pPr>
  </w:style>
  <w:style w:type="paragraph" w:customStyle="1" w:styleId="67">
    <w:name w:val="标准书眉一"/>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0">
    <w:name w:val="发布"/>
    <w:uiPriority w:val="0"/>
    <w:rPr>
      <w:rFonts w:ascii="黑体" w:eastAsia="黑体"/>
      <w:spacing w:val="85"/>
      <w:w w:val="100"/>
      <w:position w:val="3"/>
      <w:sz w:val="28"/>
      <w:szCs w:val="28"/>
    </w:rPr>
  </w:style>
  <w:style w:type="paragraph" w:customStyle="1" w:styleId="71">
    <w:name w:val="发布部门"/>
    <w:next w:val="23"/>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uiPriority w:val="0"/>
    <w:pPr>
      <w:framePr w:wrap="around"/>
      <w:spacing w:before="370" w:line="400" w:lineRule="exact"/>
    </w:pPr>
    <w:rPr>
      <w:rFonts w:ascii="Times New Roman"/>
      <w:sz w:val="28"/>
      <w:szCs w:val="28"/>
    </w:rPr>
  </w:style>
  <w:style w:type="paragraph" w:customStyle="1" w:styleId="77">
    <w:name w:val="封面一致性程度标识"/>
    <w:basedOn w:val="76"/>
    <w:uiPriority w:val="0"/>
    <w:pPr>
      <w:framePr w:wrap="around"/>
      <w:spacing w:before="440"/>
    </w:pPr>
    <w:rPr>
      <w:rFonts w:ascii="宋体" w:eastAsia="宋体"/>
    </w:rPr>
  </w:style>
  <w:style w:type="paragraph" w:customStyle="1" w:styleId="78">
    <w:name w:val="封面标准文稿类别"/>
    <w:basedOn w:val="77"/>
    <w:uiPriority w:val="0"/>
    <w:pPr>
      <w:framePr w:wrap="around"/>
      <w:spacing w:after="160" w:line="240" w:lineRule="auto"/>
    </w:pPr>
    <w:rPr>
      <w:sz w:val="24"/>
    </w:rPr>
  </w:style>
  <w:style w:type="paragraph" w:customStyle="1" w:styleId="79">
    <w:name w:val="封面标准文稿编辑信息"/>
    <w:basedOn w:val="78"/>
    <w:uiPriority w:val="0"/>
    <w:pPr>
      <w:framePr w:wrap="around"/>
      <w:spacing w:before="180" w:line="180" w:lineRule="exact"/>
    </w:pPr>
    <w:rPr>
      <w:sz w:val="21"/>
    </w:rPr>
  </w:style>
  <w:style w:type="paragraph" w:customStyle="1" w:styleId="80">
    <w:name w:val="封面正文"/>
    <w:uiPriority w:val="0"/>
    <w:pPr>
      <w:jc w:val="both"/>
    </w:pPr>
    <w:rPr>
      <w:rFonts w:ascii="Times New Roman" w:hAnsi="Times New Roman" w:eastAsia="宋体" w:cs="Times New Roman"/>
      <w:lang w:val="en-US" w:eastAsia="zh-CN" w:bidi="ar-SA"/>
    </w:rPr>
  </w:style>
  <w:style w:type="paragraph" w:customStyle="1" w:styleId="81">
    <w:name w:val="附录标识"/>
    <w:basedOn w:val="1"/>
    <w:next w:val="23"/>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2">
    <w:name w:val="附录标题"/>
    <w:basedOn w:val="23"/>
    <w:next w:val="23"/>
    <w:uiPriority w:val="0"/>
    <w:pPr>
      <w:ind w:firstLine="0" w:firstLineChars="0"/>
      <w:jc w:val="center"/>
    </w:pPr>
    <w:rPr>
      <w:rFonts w:ascii="黑体" w:eastAsia="黑体"/>
    </w:rPr>
  </w:style>
  <w:style w:type="paragraph" w:customStyle="1" w:styleId="83">
    <w:name w:val="附录表标号"/>
    <w:basedOn w:val="1"/>
    <w:next w:val="23"/>
    <w:uiPriority w:val="0"/>
    <w:pPr>
      <w:numPr>
        <w:ilvl w:val="0"/>
        <w:numId w:val="12"/>
      </w:numPr>
      <w:tabs>
        <w:tab w:val="clear" w:pos="0"/>
      </w:tabs>
      <w:spacing w:line="14" w:lineRule="exact"/>
      <w:ind w:left="811" w:hanging="448"/>
      <w:jc w:val="center"/>
      <w:outlineLvl w:val="0"/>
    </w:pPr>
    <w:rPr>
      <w:color w:val="FFFFFF"/>
    </w:rPr>
  </w:style>
  <w:style w:type="paragraph" w:customStyle="1" w:styleId="84">
    <w:name w:val="附录表标题"/>
    <w:basedOn w:val="1"/>
    <w:next w:val="23"/>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85">
    <w:name w:val="附录二级条标题"/>
    <w:basedOn w:val="1"/>
    <w:next w:val="23"/>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6">
    <w:name w:val="附录二级无"/>
    <w:basedOn w:val="85"/>
    <w:uiPriority w:val="0"/>
    <w:pPr>
      <w:tabs>
        <w:tab w:val="clear" w:pos="360"/>
      </w:tabs>
      <w:spacing w:before="0" w:beforeLines="0" w:after="0" w:afterLines="0"/>
    </w:pPr>
    <w:rPr>
      <w:rFonts w:ascii="宋体" w:eastAsia="宋体"/>
      <w:szCs w:val="21"/>
    </w:rPr>
  </w:style>
  <w:style w:type="paragraph" w:customStyle="1" w:styleId="87">
    <w:name w:val="附录公式"/>
    <w:basedOn w:val="23"/>
    <w:next w:val="23"/>
    <w:link w:val="88"/>
    <w:qFormat/>
    <w:uiPriority w:val="0"/>
  </w:style>
  <w:style w:type="character" w:customStyle="1" w:styleId="88">
    <w:name w:val="附录公式 Char"/>
    <w:basedOn w:val="38"/>
    <w:link w:val="87"/>
    <w:uiPriority w:val="0"/>
    <w:rPr>
      <w:rFonts w:ascii="宋体"/>
      <w:sz w:val="21"/>
      <w:lang w:val="en-US" w:eastAsia="zh-CN" w:bidi="ar-SA"/>
    </w:rPr>
  </w:style>
  <w:style w:type="paragraph" w:customStyle="1" w:styleId="89">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5"/>
    <w:next w:val="23"/>
    <w:uiPriority w:val="0"/>
    <w:pPr>
      <w:numPr>
        <w:ilvl w:val="4"/>
      </w:numPr>
      <w:outlineLvl w:val="4"/>
    </w:pPr>
  </w:style>
  <w:style w:type="paragraph" w:customStyle="1" w:styleId="91">
    <w:name w:val="附录三级无"/>
    <w:basedOn w:val="90"/>
    <w:uiPriority w:val="0"/>
    <w:pPr>
      <w:tabs>
        <w:tab w:val="clear" w:pos="360"/>
      </w:tabs>
      <w:spacing w:before="0" w:beforeLines="0" w:after="0" w:afterLines="0"/>
    </w:pPr>
    <w:rPr>
      <w:rFonts w:ascii="宋体" w:eastAsia="宋体"/>
      <w:szCs w:val="21"/>
    </w:rPr>
  </w:style>
  <w:style w:type="paragraph" w:customStyle="1" w:styleId="9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3">
    <w:name w:val="附录四级条标题"/>
    <w:basedOn w:val="90"/>
    <w:next w:val="23"/>
    <w:uiPriority w:val="0"/>
    <w:pPr>
      <w:numPr>
        <w:ilvl w:val="5"/>
      </w:numPr>
      <w:outlineLvl w:val="5"/>
    </w:pPr>
  </w:style>
  <w:style w:type="paragraph" w:customStyle="1" w:styleId="94">
    <w:name w:val="附录四级无"/>
    <w:basedOn w:val="93"/>
    <w:uiPriority w:val="0"/>
    <w:pPr>
      <w:tabs>
        <w:tab w:val="clear" w:pos="360"/>
      </w:tabs>
      <w:spacing w:before="0" w:beforeLines="0" w:after="0" w:afterLines="0"/>
    </w:pPr>
    <w:rPr>
      <w:rFonts w:ascii="宋体" w:eastAsia="宋体"/>
      <w:szCs w:val="21"/>
    </w:rPr>
  </w:style>
  <w:style w:type="paragraph" w:customStyle="1" w:styleId="95">
    <w:name w:val="附录图标号"/>
    <w:basedOn w:val="1"/>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6">
    <w:name w:val="附录图标题"/>
    <w:basedOn w:val="1"/>
    <w:next w:val="23"/>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97">
    <w:name w:val="附录五级条标题"/>
    <w:basedOn w:val="93"/>
    <w:next w:val="23"/>
    <w:uiPriority w:val="0"/>
    <w:pPr>
      <w:numPr>
        <w:ilvl w:val="6"/>
      </w:numPr>
      <w:outlineLvl w:val="6"/>
    </w:pPr>
  </w:style>
  <w:style w:type="paragraph" w:customStyle="1" w:styleId="98">
    <w:name w:val="附录五级无"/>
    <w:basedOn w:val="97"/>
    <w:uiPriority w:val="0"/>
    <w:pPr>
      <w:tabs>
        <w:tab w:val="clear" w:pos="360"/>
      </w:tabs>
      <w:spacing w:before="0" w:beforeLines="0" w:after="0" w:afterLines="0"/>
    </w:pPr>
    <w:rPr>
      <w:rFonts w:ascii="宋体" w:eastAsia="宋体"/>
      <w:szCs w:val="21"/>
    </w:rPr>
  </w:style>
  <w:style w:type="paragraph" w:customStyle="1" w:styleId="99">
    <w:name w:val="附录章标题"/>
    <w:next w:val="23"/>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3"/>
    <w:uiPriority w:val="0"/>
    <w:pPr>
      <w:numPr>
        <w:ilvl w:val="2"/>
      </w:numPr>
      <w:autoSpaceDN w:val="0"/>
      <w:spacing w:before="50" w:beforeLines="50" w:after="50" w:afterLines="50"/>
      <w:outlineLvl w:val="2"/>
    </w:pPr>
  </w:style>
  <w:style w:type="paragraph" w:customStyle="1" w:styleId="101">
    <w:name w:val="附录一级无"/>
    <w:basedOn w:val="100"/>
    <w:uiPriority w:val="0"/>
    <w:pPr>
      <w:tabs>
        <w:tab w:val="clear" w:pos="360"/>
      </w:tabs>
      <w:spacing w:before="0" w:beforeLines="0" w:after="0" w:afterLines="0"/>
    </w:pPr>
    <w:rPr>
      <w:rFonts w:ascii="宋体" w:eastAsia="宋体"/>
      <w:szCs w:val="21"/>
    </w:rPr>
  </w:style>
  <w:style w:type="paragraph" w:customStyle="1" w:styleId="10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3">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3"/>
    <w:uiPriority w:val="0"/>
    <w:pPr>
      <w:framePr w:w="6101" w:wrap="around" w:vAnchor="page" w:hAnchor="page" w:x="4673" w:y="942"/>
    </w:pPr>
    <w:rPr>
      <w:w w:val="130"/>
    </w:rPr>
  </w:style>
  <w:style w:type="paragraph" w:customStyle="1" w:styleId="107">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1"/>
    <w:uiPriority w:val="0"/>
    <w:pPr>
      <w:framePr w:wrap="around" w:y="15310"/>
      <w:spacing w:line="0" w:lineRule="atLeast"/>
    </w:pPr>
    <w:rPr>
      <w:rFonts w:ascii="黑体" w:eastAsia="黑体"/>
      <w:b w:val="0"/>
    </w:rPr>
  </w:style>
  <w:style w:type="paragraph" w:customStyle="1" w:styleId="109">
    <w:name w:val="前言、引言标题"/>
    <w:next w:val="2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8"/>
    <w:uiPriority w:val="0"/>
    <w:pPr>
      <w:spacing w:before="0" w:beforeLines="0" w:after="0" w:afterLines="0"/>
    </w:pPr>
    <w:rPr>
      <w:rFonts w:ascii="宋体" w:eastAsia="宋体"/>
    </w:rPr>
  </w:style>
  <w:style w:type="paragraph" w:customStyle="1" w:styleId="111">
    <w:name w:val="实施日期"/>
    <w:basedOn w:val="72"/>
    <w:uiPriority w:val="0"/>
    <w:pPr>
      <w:framePr w:wrap="around" w:vAnchor="page" w:hAnchor="text"/>
      <w:jc w:val="right"/>
    </w:pPr>
  </w:style>
  <w:style w:type="paragraph" w:customStyle="1" w:styleId="112">
    <w:name w:val="示例后文字"/>
    <w:basedOn w:val="23"/>
    <w:next w:val="23"/>
    <w:qFormat/>
    <w:uiPriority w:val="0"/>
    <w:pPr>
      <w:ind w:firstLine="360"/>
    </w:pPr>
    <w:rPr>
      <w:sz w:val="18"/>
    </w:rPr>
  </w:style>
  <w:style w:type="paragraph" w:customStyle="1" w:styleId="113">
    <w:name w:val="首示例"/>
    <w:next w:val="23"/>
    <w:link w:val="11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4">
    <w:name w:val="首示例 Char"/>
    <w:link w:val="113"/>
    <w:uiPriority w:val="0"/>
    <w:rPr>
      <w:rFonts w:ascii="宋体" w:hAnsi="宋体"/>
      <w:kern w:val="2"/>
      <w:sz w:val="18"/>
      <w:szCs w:val="18"/>
    </w:rPr>
  </w:style>
  <w:style w:type="paragraph" w:customStyle="1" w:styleId="115">
    <w:name w:val="四级无"/>
    <w:basedOn w:val="52"/>
    <w:uiPriority w:val="0"/>
    <w:pPr>
      <w:spacing w:before="0" w:beforeLines="0" w:after="0" w:afterLines="0"/>
    </w:pPr>
    <w:rPr>
      <w:rFonts w:ascii="宋体" w:eastAsia="宋体"/>
    </w:rPr>
  </w:style>
  <w:style w:type="paragraph" w:customStyle="1" w:styleId="116">
    <w:name w:val="条文脚注"/>
    <w:basedOn w:val="24"/>
    <w:uiPriority w:val="0"/>
    <w:pPr>
      <w:numPr>
        <w:numId w:val="0"/>
      </w:numPr>
      <w:jc w:val="both"/>
    </w:pPr>
  </w:style>
  <w:style w:type="paragraph" w:customStyle="1" w:styleId="117">
    <w:name w:val="图标脚注说明"/>
    <w:basedOn w:val="23"/>
    <w:uiPriority w:val="0"/>
    <w:pPr>
      <w:ind w:left="840" w:hanging="420" w:firstLineChars="0"/>
    </w:pPr>
    <w:rPr>
      <w:sz w:val="18"/>
      <w:szCs w:val="18"/>
    </w:rPr>
  </w:style>
  <w:style w:type="paragraph" w:customStyle="1" w:styleId="118">
    <w:name w:val="图表脚注说明"/>
    <w:basedOn w:val="1"/>
    <w:uiPriority w:val="0"/>
    <w:pPr>
      <w:numPr>
        <w:ilvl w:val="0"/>
        <w:numId w:val="16"/>
      </w:numPr>
    </w:pPr>
    <w:rPr>
      <w:rFonts w:ascii="宋体"/>
      <w:sz w:val="18"/>
      <w:szCs w:val="18"/>
    </w:rPr>
  </w:style>
  <w:style w:type="paragraph" w:customStyle="1" w:styleId="119">
    <w:name w:val="图的脚注"/>
    <w:next w:val="2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53"/>
    <w:uiPriority w:val="0"/>
    <w:pPr>
      <w:spacing w:before="0" w:beforeLines="0" w:after="0" w:afterLines="0"/>
    </w:pPr>
    <w:rPr>
      <w:rFonts w:ascii="宋体" w:eastAsia="宋体"/>
    </w:rPr>
  </w:style>
  <w:style w:type="paragraph" w:customStyle="1" w:styleId="122">
    <w:name w:val="一级无"/>
    <w:basedOn w:val="39"/>
    <w:uiPriority w:val="0"/>
    <w:pPr>
      <w:spacing w:before="0" w:beforeLines="0" w:after="0" w:afterLines="0"/>
    </w:pPr>
    <w:rPr>
      <w:rFonts w:ascii="宋体" w:eastAsia="宋体"/>
    </w:rPr>
  </w:style>
  <w:style w:type="character" w:customStyle="1" w:styleId="123">
    <w:name w:val="已访问的超链接1"/>
    <w:uiPriority w:val="0"/>
    <w:rPr>
      <w:color w:val="800080"/>
      <w:u w:val="single"/>
    </w:rPr>
  </w:style>
  <w:style w:type="paragraph" w:customStyle="1" w:styleId="124">
    <w:name w:val="正文表标题"/>
    <w:next w:val="23"/>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3"/>
    <w:next w:val="23"/>
    <w:qFormat/>
    <w:uiPriority w:val="0"/>
    <w:pPr>
      <w:ind w:firstLine="0" w:firstLineChars="0"/>
    </w:pPr>
  </w:style>
  <w:style w:type="paragraph" w:customStyle="1" w:styleId="126">
    <w:name w:val="正文图标题"/>
    <w:next w:val="23"/>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终结线"/>
    <w:basedOn w:val="1"/>
    <w:uiPriority w:val="0"/>
    <w:pPr>
      <w:framePr w:hSpace="181" w:vSpace="181" w:wrap="around" w:vAnchor="text" w:hAnchor="margin" w:xAlign="center" w:y="285"/>
    </w:pPr>
  </w:style>
  <w:style w:type="paragraph" w:customStyle="1" w:styleId="128">
    <w:name w:val="其他发布日期"/>
    <w:basedOn w:val="72"/>
    <w:uiPriority w:val="0"/>
    <w:pPr>
      <w:framePr w:wrap="around" w:vAnchor="page" w:hAnchor="text" w:x="1419"/>
    </w:pPr>
  </w:style>
  <w:style w:type="paragraph" w:customStyle="1" w:styleId="129">
    <w:name w:val="其他实施日期"/>
    <w:basedOn w:val="111"/>
    <w:uiPriority w:val="0"/>
    <w:pPr>
      <w:framePr w:wrap="around"/>
    </w:pPr>
  </w:style>
  <w:style w:type="paragraph" w:customStyle="1" w:styleId="130">
    <w:name w:val="封面标准名称2"/>
    <w:basedOn w:val="75"/>
    <w:uiPriority w:val="0"/>
    <w:pPr>
      <w:framePr w:wrap="around" w:y="4469"/>
      <w:spacing w:before="630" w:beforeLines="630"/>
    </w:pPr>
  </w:style>
  <w:style w:type="paragraph" w:customStyle="1" w:styleId="131">
    <w:name w:val="封面标准英文名称2"/>
    <w:basedOn w:val="76"/>
    <w:uiPriority w:val="0"/>
    <w:pPr>
      <w:framePr w:wrap="around" w:y="4469"/>
    </w:pPr>
  </w:style>
  <w:style w:type="paragraph" w:customStyle="1" w:styleId="132">
    <w:name w:val="封面一致性程度标识2"/>
    <w:basedOn w:val="77"/>
    <w:uiPriority w:val="0"/>
    <w:pPr>
      <w:framePr w:wrap="around" w:y="4469"/>
    </w:pPr>
  </w:style>
  <w:style w:type="paragraph" w:customStyle="1" w:styleId="133">
    <w:name w:val="封面标准文稿类别2"/>
    <w:basedOn w:val="78"/>
    <w:uiPriority w:val="0"/>
    <w:pPr>
      <w:framePr w:wrap="around" w:y="4469"/>
    </w:pPr>
  </w:style>
  <w:style w:type="paragraph" w:customStyle="1" w:styleId="134">
    <w:name w:val="封面标准文稿编辑信息2"/>
    <w:basedOn w:val="79"/>
    <w:uiPriority w:val="0"/>
    <w:pPr>
      <w:framePr w:wrap="around" w:y="4469"/>
    </w:pPr>
  </w:style>
  <w:style w:type="character" w:customStyle="1" w:styleId="135">
    <w:name w:val="标题 1 Char"/>
    <w:uiPriority w:val="0"/>
  </w:style>
  <w:style w:type="character" w:customStyle="1" w:styleId="136">
    <w:name w:val="标题 1 Char1"/>
    <w:link w:val="2"/>
    <w:uiPriority w:val="0"/>
    <w:rPr>
      <w:b/>
      <w:bCs/>
      <w:kern w:val="44"/>
      <w:sz w:val="44"/>
      <w:szCs w:val="44"/>
      <w:lang w:val="zh-CN" w:eastAsia="zh-CN"/>
    </w:rPr>
  </w:style>
  <w:style w:type="character" w:customStyle="1" w:styleId="137">
    <w:name w:val="标题 2 Char"/>
    <w:link w:val="3"/>
    <w:uiPriority w:val="0"/>
    <w:rPr>
      <w:rFonts w:ascii="Arial" w:hAnsi="Arial" w:eastAsia="黑体"/>
      <w:b/>
      <w:bCs/>
      <w:sz w:val="32"/>
      <w:szCs w:val="32"/>
      <w:lang w:val="zh-CN" w:eastAsia="zh-CN"/>
    </w:rPr>
  </w:style>
  <w:style w:type="character" w:customStyle="1" w:styleId="138">
    <w:name w:val="标题 3 Char"/>
    <w:link w:val="4"/>
    <w:uiPriority w:val="0"/>
    <w:rPr>
      <w:b/>
      <w:bCs/>
      <w:sz w:val="32"/>
      <w:szCs w:val="32"/>
      <w:lang w:val="zh-CN" w:eastAsia="zh-CN"/>
    </w:rPr>
  </w:style>
  <w:style w:type="character" w:customStyle="1" w:styleId="139">
    <w:name w:val="标题 2 Char1"/>
    <w:uiPriority w:val="0"/>
    <w:rPr>
      <w:rFonts w:ascii="Arial" w:hAnsi="Arial" w:eastAsia="黑体"/>
      <w:b/>
      <w:bCs/>
      <w:sz w:val="32"/>
      <w:szCs w:val="32"/>
      <w:lang w:val="zh-CN" w:eastAsia="zh-CN"/>
    </w:rPr>
  </w:style>
  <w:style w:type="character" w:customStyle="1" w:styleId="140">
    <w:name w:val="标题 3 Char1"/>
    <w:uiPriority w:val="0"/>
    <w:rPr>
      <w:rFonts w:ascii="Times New Roman" w:hAnsi="Times New Roman"/>
      <w:b/>
      <w:bCs/>
      <w:sz w:val="32"/>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1046;&#33647;&#26631;&#20934;&#20462;&#35746;\&#21270;&#23398;&#21512;&#25104;&#21046;&#33647;&#23433;&#20840;&#29983;&#20135;&#25216;&#26415;&#35268;&#31243;(&#20462;&#35746;&#2925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化学合成制药安全生产技术规程(修订版）</Template>
  <Company>zle</Company>
  <Pages>15</Pages>
  <Words>10294</Words>
  <Characters>10978</Characters>
  <Lines>87</Lines>
  <Paragraphs>24</Paragraphs>
  <TotalTime>1353</TotalTime>
  <ScaleCrop>false</ScaleCrop>
  <LinksUpToDate>false</LinksUpToDate>
  <CharactersWithSpaces>11172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2024-11-28T07:44:00Z</dcterms:created>
  <dc:creator>宋荣全</dc:creator>
  <cp:lastModifiedBy>无一悟</cp:lastModifiedBy>
  <cp:lastPrinted>2015-06-25T07:09:00Z</cp:lastPrinted>
  <dcterms:modified xsi:type="dcterms:W3CDTF">2026-02-09T08:25:35Z</dcterms:modified>
  <dc:title>标准名称</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eyJoZGlkIjoiMTQzNDc3YWE4OGYzNTliZTE3ZjMyNTdmNGVkNzc1MTIiLCJ1c2VySWQiOiI1MTk4MTk4MTcifQ==</vt:lpwstr>
  </property>
  <property fmtid="{D5CDD505-2E9C-101B-9397-08002B2CF9AE}" pid="3" name="KSOProductBuildVer">
    <vt:lpwstr>2052-12.1.0.25225</vt:lpwstr>
  </property>
  <property fmtid="{D5CDD505-2E9C-101B-9397-08002B2CF9AE}" pid="4" name="ICV">
    <vt:lpwstr>EF69D5C228B041D088B1B6E16C33FC4C_12</vt:lpwstr>
  </property>
</Properties>
</file>