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686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A94697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92B227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13.100</w:t>
            </w:r>
            <w:r>
              <w:rPr>
                <w:rFonts w:ascii="黑体" w:hAnsi="黑体" w:eastAsia="黑体"/>
                <w:sz w:val="21"/>
                <w:szCs w:val="21"/>
              </w:rPr>
              <w:fldChar w:fldCharType="end"/>
            </w:r>
            <w:bookmarkEnd w:id="0"/>
          </w:p>
        </w:tc>
      </w:tr>
      <w:tr w14:paraId="7F50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AE553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B5F44E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77</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E474B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0686FDCE">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116EF23">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5C5CC66">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6DCC456">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02AE25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847EB2F">
      <w:pPr>
        <w:pStyle w:val="50"/>
        <w:framePr w:w="9639" w:h="6976" w:hRule="exact" w:hSpace="0" w:vSpace="0" w:wrap="around" w:hAnchor="page" w:y="6408"/>
        <w:jc w:val="center"/>
        <w:rPr>
          <w:rFonts w:ascii="黑体" w:hAnsi="黑体" w:eastAsia="黑体"/>
          <w:b w:val="0"/>
          <w:bCs w:val="0"/>
          <w:w w:val="100"/>
        </w:rPr>
      </w:pPr>
    </w:p>
    <w:p w14:paraId="08616614">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安全评价档案管理规范</w:t>
      </w:r>
      <w:r>
        <w:fldChar w:fldCharType="end"/>
      </w:r>
      <w:bookmarkEnd w:id="9"/>
    </w:p>
    <w:p w14:paraId="36AF2687">
      <w:pPr>
        <w:framePr w:w="9639" w:h="6974" w:hRule="exact" w:wrap="around" w:vAnchor="page" w:hAnchor="page" w:x="1419" w:y="6408" w:anchorLock="1"/>
        <w:ind w:left="-1418"/>
      </w:pPr>
    </w:p>
    <w:p w14:paraId="3501A2E0">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archive management of safety assessment</w:t>
      </w:r>
      <w:r>
        <w:rPr>
          <w:rFonts w:ascii="黑体" w:hAnsi="黑体" w:eastAsia="黑体"/>
          <w:szCs w:val="28"/>
        </w:rPr>
        <w:fldChar w:fldCharType="end"/>
      </w:r>
      <w:bookmarkEnd w:id="10"/>
    </w:p>
    <w:p w14:paraId="71322A0E">
      <w:pPr>
        <w:framePr w:w="9639" w:h="6974" w:hRule="exact" w:wrap="around" w:vAnchor="page" w:hAnchor="page" w:x="1419" w:y="6408" w:anchorLock="1"/>
        <w:spacing w:line="760" w:lineRule="exact"/>
        <w:ind w:left="-1418"/>
      </w:pPr>
    </w:p>
    <w:p w14:paraId="02BCFF32">
      <w:pPr>
        <w:pStyle w:val="125"/>
        <w:framePr w:w="9639" w:h="6974" w:hRule="exact" w:wrap="around" w:vAnchor="page" w:hAnchor="page" w:x="1419" w:y="6408" w:anchorLock="1"/>
        <w:textAlignment w:val="bottom"/>
        <w:rPr>
          <w:rFonts w:eastAsia="黑体"/>
          <w:szCs w:val="28"/>
        </w:rPr>
      </w:pPr>
    </w:p>
    <w:p w14:paraId="4ADC80F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8DCD6D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（本草案完成时间：2024.11.18）</w:t>
      </w:r>
      <w:r>
        <w:rPr>
          <w:sz w:val="21"/>
          <w:szCs w:val="28"/>
        </w:rPr>
        <w:fldChar w:fldCharType="end"/>
      </w:r>
      <w:bookmarkEnd w:id="12"/>
    </w:p>
    <w:p w14:paraId="0FDB72C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AD156F1">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2D3B51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FDB16C4">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46D9EF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7E3E86">
      <w:pPr>
        <w:pStyle w:val="91"/>
        <w:spacing w:after="468"/>
      </w:pPr>
      <w:bookmarkStart w:id="21" w:name="BookMark1"/>
      <w:bookmarkStart w:id="22" w:name="_Toc182836602"/>
      <w:r>
        <w:rPr>
          <w:rFonts w:hint="eastAsia"/>
          <w:spacing w:val="320"/>
        </w:rPr>
        <w:t>目</w:t>
      </w:r>
      <w:r>
        <w:rPr>
          <w:rFonts w:hint="eastAsia"/>
        </w:rPr>
        <w:t>次</w:t>
      </w:r>
    </w:p>
    <w:p w14:paraId="49270200">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"_Toc182836657" </w:instrText>
      </w:r>
      <w:r>
        <w:fldChar w:fldCharType="separate"/>
      </w:r>
      <w:r>
        <w:rPr>
          <w:rStyle w:val="32"/>
          <w:rFonts w:hint="eastAsia"/>
        </w:rPr>
        <w:t>前言</w:t>
      </w:r>
      <w:r>
        <w:tab/>
      </w:r>
      <w:r>
        <w:fldChar w:fldCharType="begin"/>
      </w:r>
      <w:r>
        <w:instrText xml:space="preserve"> PAGEREF _Toc182836657 \h </w:instrText>
      </w:r>
      <w:r>
        <w:fldChar w:fldCharType="separate"/>
      </w:r>
      <w:r>
        <w:t>II</w:t>
      </w:r>
      <w:r>
        <w:fldChar w:fldCharType="end"/>
      </w:r>
      <w:r>
        <w:fldChar w:fldCharType="end"/>
      </w:r>
    </w:p>
    <w:p w14:paraId="7A84CF83">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"_Toc182836658" </w:instrText>
      </w:r>
      <w:r>
        <w:fldChar w:fldCharType="separate"/>
      </w:r>
      <w:r>
        <w:rPr>
          <w:rStyle w:val="32"/>
        </w:rPr>
        <w:t xml:space="preserve">1 </w:t>
      </w:r>
      <w:r>
        <w:rPr>
          <w:rStyle w:val="32"/>
          <w:rFonts w:hint="eastAsia"/>
        </w:rPr>
        <w:t xml:space="preserve"> 范围</w:t>
      </w:r>
      <w:r>
        <w:tab/>
      </w:r>
      <w:r>
        <w:fldChar w:fldCharType="begin"/>
      </w:r>
      <w:r>
        <w:instrText xml:space="preserve"> PAGEREF _Toc182836658 \h </w:instrText>
      </w:r>
      <w:r>
        <w:fldChar w:fldCharType="separate"/>
      </w:r>
      <w:r>
        <w:t>1</w:t>
      </w:r>
      <w:r>
        <w:fldChar w:fldCharType="end"/>
      </w:r>
      <w:r>
        <w:fldChar w:fldCharType="end"/>
      </w:r>
    </w:p>
    <w:p w14:paraId="20EE83BF">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"_Toc182836659"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_Toc182836659 \h </w:instrText>
      </w:r>
      <w:r>
        <w:fldChar w:fldCharType="separate"/>
      </w:r>
      <w:r>
        <w:t>1</w:t>
      </w:r>
      <w:r>
        <w:fldChar w:fldCharType="end"/>
      </w:r>
      <w:r>
        <w:fldChar w:fldCharType="end"/>
      </w:r>
    </w:p>
    <w:p w14:paraId="7371A30F">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"_Toc182836660"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_Toc182836660 \h </w:instrText>
      </w:r>
      <w:r>
        <w:fldChar w:fldCharType="separate"/>
      </w:r>
      <w:r>
        <w:t>1</w:t>
      </w:r>
      <w:r>
        <w:fldChar w:fldCharType="end"/>
      </w:r>
      <w:r>
        <w:fldChar w:fldCharType="end"/>
      </w:r>
    </w:p>
    <w:p w14:paraId="6DA8E471">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"_Toc182836661" </w:instrText>
      </w:r>
      <w:r>
        <w:fldChar w:fldCharType="separate"/>
      </w:r>
      <w:r>
        <w:rPr>
          <w:rStyle w:val="32"/>
        </w:rPr>
        <w:t xml:space="preserve">4 </w:t>
      </w:r>
      <w:r>
        <w:rPr>
          <w:rStyle w:val="32"/>
          <w:rFonts w:hint="eastAsia"/>
        </w:rPr>
        <w:t xml:space="preserve"> 基本要求</w:t>
      </w:r>
      <w:r>
        <w:tab/>
      </w:r>
      <w:r>
        <w:fldChar w:fldCharType="begin"/>
      </w:r>
      <w:r>
        <w:instrText xml:space="preserve"> PAGEREF _Toc182836661 \h </w:instrText>
      </w:r>
      <w:r>
        <w:fldChar w:fldCharType="separate"/>
      </w:r>
      <w:r>
        <w:t>1</w:t>
      </w:r>
      <w:r>
        <w:fldChar w:fldCharType="end"/>
      </w:r>
      <w:r>
        <w:fldChar w:fldCharType="end"/>
      </w:r>
    </w:p>
    <w:p w14:paraId="2A83A228">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"_Toc182836662" </w:instrText>
      </w:r>
      <w:r>
        <w:fldChar w:fldCharType="separate"/>
      </w:r>
      <w:r>
        <w:rPr>
          <w:rStyle w:val="32"/>
        </w:rPr>
        <w:t xml:space="preserve">5 </w:t>
      </w:r>
      <w:r>
        <w:rPr>
          <w:rStyle w:val="32"/>
          <w:rFonts w:hint="eastAsia"/>
        </w:rPr>
        <w:t xml:space="preserve"> 基础档案管理要求</w:t>
      </w:r>
      <w:r>
        <w:tab/>
      </w:r>
      <w:r>
        <w:fldChar w:fldCharType="begin"/>
      </w:r>
      <w:r>
        <w:instrText xml:space="preserve"> PAGEREF _Toc182836662 \h </w:instrText>
      </w:r>
      <w:r>
        <w:fldChar w:fldCharType="separate"/>
      </w:r>
      <w:r>
        <w:t>2</w:t>
      </w:r>
      <w:r>
        <w:fldChar w:fldCharType="end"/>
      </w:r>
      <w:r>
        <w:fldChar w:fldCharType="end"/>
      </w:r>
    </w:p>
    <w:p w14:paraId="0656244D">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"_Toc182836663" </w:instrText>
      </w:r>
      <w:r>
        <w:fldChar w:fldCharType="separate"/>
      </w:r>
      <w:r>
        <w:rPr>
          <w:rStyle w:val="32"/>
        </w:rPr>
        <w:t xml:space="preserve">6 </w:t>
      </w:r>
      <w:r>
        <w:rPr>
          <w:rStyle w:val="32"/>
          <w:rFonts w:hint="eastAsia"/>
        </w:rPr>
        <w:t xml:space="preserve"> 评价项目档案管理要求</w:t>
      </w:r>
      <w:r>
        <w:tab/>
      </w:r>
      <w:r>
        <w:fldChar w:fldCharType="begin"/>
      </w:r>
      <w:r>
        <w:instrText xml:space="preserve"> PAGEREF _Toc182836663 \h </w:instrText>
      </w:r>
      <w:r>
        <w:fldChar w:fldCharType="separate"/>
      </w:r>
      <w:r>
        <w:t>3</w:t>
      </w:r>
      <w:r>
        <w:fldChar w:fldCharType="end"/>
      </w:r>
      <w:r>
        <w:fldChar w:fldCharType="end"/>
      </w:r>
    </w:p>
    <w:p w14:paraId="7B74FE7C">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"_Toc182836664" </w:instrText>
      </w:r>
      <w:r>
        <w:fldChar w:fldCharType="separate"/>
      </w:r>
      <w:r>
        <w:rPr>
          <w:rStyle w:val="32"/>
        </w:rPr>
        <w:t xml:space="preserve">7 </w:t>
      </w:r>
      <w:r>
        <w:rPr>
          <w:rStyle w:val="32"/>
          <w:rFonts w:hint="eastAsia"/>
        </w:rPr>
        <w:t xml:space="preserve"> 安全评价师技术档案管理要求</w:t>
      </w:r>
      <w:r>
        <w:tab/>
      </w:r>
      <w:r>
        <w:fldChar w:fldCharType="begin"/>
      </w:r>
      <w:r>
        <w:instrText xml:space="preserve"> PAGEREF _Toc182836664 \h </w:instrText>
      </w:r>
      <w:r>
        <w:fldChar w:fldCharType="separate"/>
      </w:r>
      <w:r>
        <w:t>4</w:t>
      </w:r>
      <w:r>
        <w:fldChar w:fldCharType="end"/>
      </w:r>
      <w:r>
        <w:fldChar w:fldCharType="end"/>
      </w:r>
    </w:p>
    <w:p w14:paraId="7CA6CE71">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"_Toc182836665" </w:instrText>
      </w:r>
      <w:r>
        <w:fldChar w:fldCharType="separate"/>
      </w:r>
      <w:r>
        <w:rPr>
          <w:rStyle w:val="32"/>
        </w:rPr>
        <w:t xml:space="preserve">8 </w:t>
      </w:r>
      <w:r>
        <w:rPr>
          <w:rStyle w:val="32"/>
          <w:rFonts w:hint="eastAsia"/>
        </w:rPr>
        <w:t xml:space="preserve"> 仪器设备档案管理要求</w:t>
      </w:r>
      <w:r>
        <w:tab/>
      </w:r>
      <w:r>
        <w:fldChar w:fldCharType="begin"/>
      </w:r>
      <w:r>
        <w:instrText xml:space="preserve"> PAGEREF _Toc182836665 \h </w:instrText>
      </w:r>
      <w:r>
        <w:fldChar w:fldCharType="separate"/>
      </w:r>
      <w:r>
        <w:t>4</w:t>
      </w:r>
      <w:r>
        <w:fldChar w:fldCharType="end"/>
      </w:r>
      <w:r>
        <w:fldChar w:fldCharType="end"/>
      </w:r>
    </w:p>
    <w:p w14:paraId="2E4A6371">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"_Toc182836666" </w:instrText>
      </w:r>
      <w:r>
        <w:fldChar w:fldCharType="separate"/>
      </w:r>
      <w:r>
        <w:rPr>
          <w:rStyle w:val="32"/>
        </w:rPr>
        <w:t xml:space="preserve">9 </w:t>
      </w:r>
      <w:r>
        <w:rPr>
          <w:rStyle w:val="32"/>
          <w:rFonts w:hint="eastAsia"/>
        </w:rPr>
        <w:t xml:space="preserve"> 档案保管要求</w:t>
      </w:r>
      <w:r>
        <w:tab/>
      </w:r>
      <w:r>
        <w:fldChar w:fldCharType="begin"/>
      </w:r>
      <w:r>
        <w:instrText xml:space="preserve"> PAGEREF _Toc182836666 \h </w:instrText>
      </w:r>
      <w:r>
        <w:fldChar w:fldCharType="separate"/>
      </w:r>
      <w:r>
        <w:t>4</w:t>
      </w:r>
      <w:r>
        <w:fldChar w:fldCharType="end"/>
      </w:r>
      <w:r>
        <w:fldChar w:fldCharType="end"/>
      </w:r>
    </w:p>
    <w:p w14:paraId="05FAEE12">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"_Toc182836667" </w:instrText>
      </w:r>
      <w:r>
        <w:fldChar w:fldCharType="separate"/>
      </w:r>
      <w:r>
        <w:rPr>
          <w:rStyle w:val="32"/>
        </w:rPr>
        <w:t xml:space="preserve">10 </w:t>
      </w:r>
      <w:r>
        <w:rPr>
          <w:rStyle w:val="32"/>
          <w:rFonts w:hint="eastAsia"/>
        </w:rPr>
        <w:t xml:space="preserve"> 档案保存期限</w:t>
      </w:r>
      <w:r>
        <w:tab/>
      </w:r>
      <w:r>
        <w:fldChar w:fldCharType="begin"/>
      </w:r>
      <w:r>
        <w:instrText xml:space="preserve"> PAGEREF _Toc182836667 \h </w:instrText>
      </w:r>
      <w:r>
        <w:fldChar w:fldCharType="separate"/>
      </w:r>
      <w:r>
        <w:t>5</w:t>
      </w:r>
      <w:r>
        <w:fldChar w:fldCharType="end"/>
      </w:r>
      <w:r>
        <w:fldChar w:fldCharType="end"/>
      </w:r>
    </w:p>
    <w:p w14:paraId="5EA2C42C">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"_Toc182836668" </w:instrText>
      </w:r>
      <w:r>
        <w:fldChar w:fldCharType="separate"/>
      </w:r>
      <w:r>
        <w:rPr>
          <w:rStyle w:val="32"/>
          <w:rFonts w:hint="eastAsia"/>
        </w:rPr>
        <w:t>附录A（资料性）</w:t>
      </w:r>
      <w:r>
        <w:rPr>
          <w:rStyle w:val="32"/>
        </w:rPr>
        <w:t xml:space="preserve">  </w:t>
      </w:r>
      <w:r>
        <w:rPr>
          <w:rStyle w:val="32"/>
          <w:rFonts w:hint="eastAsia"/>
        </w:rPr>
        <w:t>表</w:t>
      </w:r>
      <w:r>
        <w:rPr>
          <w:rStyle w:val="32"/>
        </w:rPr>
        <w:t xml:space="preserve">A.1  </w:t>
      </w:r>
      <w:r>
        <w:rPr>
          <w:rStyle w:val="32"/>
          <w:rFonts w:hint="eastAsia"/>
        </w:rPr>
        <w:t>安全评价项目档案归档目录（式样）</w:t>
      </w:r>
      <w:r>
        <w:tab/>
      </w:r>
      <w:r>
        <w:fldChar w:fldCharType="begin"/>
      </w:r>
      <w:r>
        <w:instrText xml:space="preserve"> PAGEREF _Toc182836668 \h </w:instrText>
      </w:r>
      <w:r>
        <w:fldChar w:fldCharType="separate"/>
      </w:r>
      <w:r>
        <w:t>7</w:t>
      </w:r>
      <w:r>
        <w:fldChar w:fldCharType="end"/>
      </w:r>
      <w:r>
        <w:fldChar w:fldCharType="end"/>
      </w:r>
    </w:p>
    <w:p w14:paraId="0006DFB1">
      <w:pPr>
        <w:pStyle w:val="19"/>
        <w:tabs>
          <w:tab w:val="right" w:leader="dot" w:pos="9344"/>
        </w:tabs>
        <w:rPr>
          <w:rFonts w:asciiTheme="minorHAnsi" w:hAnsiTheme="minorHAnsi" w:eastAsiaTheme="minorEastAsia" w:cstheme="minorBidi"/>
          <w:szCs w:val="22"/>
        </w:rPr>
      </w:pPr>
      <w:r>
        <w:fldChar w:fldCharType="begin"/>
      </w:r>
      <w:r>
        <w:instrText xml:space="preserve"> HYPERLINK \l "_Toc182836669" </w:instrText>
      </w:r>
      <w:r>
        <w:fldChar w:fldCharType="separate"/>
      </w:r>
      <w:r>
        <w:rPr>
          <w:rStyle w:val="32"/>
          <w:rFonts w:hint="eastAsia"/>
        </w:rPr>
        <w:t>附录B（规范性）</w:t>
      </w:r>
      <w:r>
        <w:rPr>
          <w:rStyle w:val="32"/>
        </w:rPr>
        <w:t xml:space="preserve">  </w:t>
      </w:r>
      <w:r>
        <w:rPr>
          <w:rStyle w:val="32"/>
          <w:rFonts w:hint="eastAsia"/>
        </w:rPr>
        <w:t>表</w:t>
      </w:r>
      <w:r>
        <w:rPr>
          <w:rStyle w:val="32"/>
        </w:rPr>
        <w:t xml:space="preserve">B.1  </w:t>
      </w:r>
      <w:r>
        <w:rPr>
          <w:rStyle w:val="32"/>
          <w:rFonts w:hint="eastAsia"/>
        </w:rPr>
        <w:t>安全评价档案保管期限</w:t>
      </w:r>
      <w:r>
        <w:tab/>
      </w:r>
      <w:r>
        <w:fldChar w:fldCharType="begin"/>
      </w:r>
      <w:r>
        <w:instrText xml:space="preserve"> PAGEREF _Toc182836669 \h </w:instrText>
      </w:r>
      <w:r>
        <w:fldChar w:fldCharType="separate"/>
      </w:r>
      <w:r>
        <w:t>8</w:t>
      </w:r>
      <w:r>
        <w:fldChar w:fldCharType="end"/>
      </w:r>
      <w:r>
        <w:fldChar w:fldCharType="end"/>
      </w:r>
    </w:p>
    <w:p w14:paraId="0D673472">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29DBF2CE">
      <w:pPr>
        <w:pStyle w:val="89"/>
        <w:spacing w:before="900" w:after="468"/>
      </w:pPr>
      <w:bookmarkStart w:id="23" w:name="_Toc182836657"/>
      <w:bookmarkStart w:id="24" w:name="BookMark2"/>
      <w:r>
        <w:rPr>
          <w:spacing w:val="320"/>
        </w:rPr>
        <w:t>前</w:t>
      </w:r>
      <w:r>
        <w:t>言</w:t>
      </w:r>
      <w:bookmarkEnd w:id="22"/>
      <w:bookmarkEnd w:id="23"/>
    </w:p>
    <w:p w14:paraId="1EF13930">
      <w:pPr>
        <w:pStyle w:val="56"/>
        <w:ind w:firstLine="420"/>
      </w:pPr>
      <w:r>
        <w:rPr>
          <w:rFonts w:hint="eastAsia"/>
        </w:rPr>
        <w:t>本文件按照GB/T 1.1—2020《标准化工作导则  第1部分：标准化文件的结构和起草规则》的规定起草。</w:t>
      </w:r>
    </w:p>
    <w:p w14:paraId="6C9D485E">
      <w:pPr>
        <w:pStyle w:val="56"/>
        <w:ind w:firstLine="420"/>
      </w:pPr>
      <w:r>
        <w:rPr>
          <w:rFonts w:hint="eastAsia"/>
        </w:rPr>
        <w:t>本文件由辽宁省应急管理厅提出并归口。</w:t>
      </w:r>
    </w:p>
    <w:p w14:paraId="28C9CB1B">
      <w:pPr>
        <w:pStyle w:val="56"/>
        <w:ind w:firstLine="420"/>
      </w:pPr>
      <w:r>
        <w:rPr>
          <w:rFonts w:hint="eastAsia"/>
        </w:rPr>
        <w:t>本文件起草单位：辽宁省安全科学研究院。</w:t>
      </w:r>
    </w:p>
    <w:p w14:paraId="2B0163CD">
      <w:pPr>
        <w:pStyle w:val="56"/>
        <w:ind w:firstLine="420"/>
      </w:pPr>
      <w:r>
        <w:rPr>
          <w:rFonts w:hint="eastAsia"/>
        </w:rPr>
        <w:t>本文件主要起草人：高成凤、王立群、郝银贵、宋荣全、张新法、张亭亭、肇梓彤、徐广大、田佳琦、王春雨、潘佩哲、刘晨、江黎丽、林佳黛、张晓楠、陈莹、夏术军、齐磊、姚丹丹、冯冰、郭洋、郝崑、郑承志、于学生、韩铮、王博阳。</w:t>
      </w:r>
    </w:p>
    <w:p w14:paraId="1F8D2BCE">
      <w:pPr>
        <w:pStyle w:val="56"/>
        <w:ind w:firstLine="420"/>
      </w:pPr>
      <w:r>
        <w:rPr>
          <w:rFonts w:hint="eastAsia"/>
        </w:rPr>
        <w:t>本文件发布实施后，任何单位和个人如有问题和意见建议，均可通过来电、来函等方式进行反馈， 有关单位将及时答复并认真处理，根据实际情况依法进行评估及复审。</w:t>
      </w:r>
    </w:p>
    <w:p w14:paraId="63B0326D">
      <w:pPr>
        <w:pStyle w:val="56"/>
        <w:ind w:firstLine="420"/>
      </w:pPr>
      <w:r>
        <w:rPr>
          <w:rFonts w:hint="eastAsia"/>
        </w:rPr>
        <w:t>归口管理部门和联系电话：辽宁省应急管理厅（沈阳市皇姑区北陵大街45-1号），024-86907739。</w:t>
      </w:r>
    </w:p>
    <w:p w14:paraId="44523EAC">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文件起草单位和联系电话：辽宁省安全科学研究院（沈阳市和平区文萃路4-2号），024-83912841。</w:t>
      </w:r>
    </w:p>
    <w:bookmarkEnd w:id="24"/>
    <w:p w14:paraId="02758AEE">
      <w:pPr>
        <w:spacing w:line="20" w:lineRule="exact"/>
        <w:jc w:val="center"/>
        <w:rPr>
          <w:rFonts w:ascii="黑体" w:hAnsi="黑体" w:eastAsia="黑体"/>
          <w:sz w:val="32"/>
          <w:szCs w:val="32"/>
        </w:rPr>
      </w:pPr>
      <w:bookmarkStart w:id="25" w:name="BookMark4"/>
    </w:p>
    <w:p w14:paraId="1AF21452">
      <w:pPr>
        <w:spacing w:line="20" w:lineRule="exact"/>
        <w:jc w:val="center"/>
        <w:rPr>
          <w:rFonts w:ascii="黑体" w:hAnsi="黑体" w:eastAsia="黑体"/>
          <w:sz w:val="32"/>
          <w:szCs w:val="32"/>
        </w:rPr>
      </w:pPr>
    </w:p>
    <w:sdt>
      <w:sdtPr>
        <w:tag w:val="NEW_STAND_NAME"/>
        <w:id w:val="595910757"/>
        <w:lock w:val="sdtLocked"/>
        <w:placeholder>
          <w:docPart w:val="BBE74780B91F45B292F2CBA451DDB709"/>
        </w:placeholder>
      </w:sdtPr>
      <w:sdtContent>
        <w:p w14:paraId="1A459FB9">
          <w:pPr>
            <w:pStyle w:val="177"/>
            <w:spacing w:before="3" w:beforeLines="1" w:after="686" w:afterLines="220"/>
          </w:pPr>
          <w:bookmarkStart w:id="26" w:name="NEW_STAND_NAME"/>
          <w:r>
            <w:rPr>
              <w:rFonts w:hint="eastAsia"/>
            </w:rPr>
            <w:t>安全评价档案管理规范</w:t>
          </w:r>
        </w:p>
      </w:sdtContent>
    </w:sdt>
    <w:bookmarkEnd w:id="26"/>
    <w:p w14:paraId="25F2565E">
      <w:pPr>
        <w:pStyle w:val="104"/>
        <w:spacing w:before="312" w:after="312"/>
      </w:pPr>
      <w:bookmarkStart w:id="27" w:name="_Toc182836658"/>
      <w:bookmarkStart w:id="28" w:name="_Toc182832960"/>
      <w:bookmarkStart w:id="29" w:name="_Toc182836603"/>
      <w:bookmarkStart w:id="30" w:name="_Toc26986771"/>
      <w:bookmarkStart w:id="31" w:name="_Toc97191423"/>
      <w:bookmarkStart w:id="32" w:name="_Toc26718930"/>
      <w:bookmarkStart w:id="33" w:name="_Toc26986530"/>
      <w:bookmarkStart w:id="34" w:name="_Toc24884218"/>
      <w:bookmarkStart w:id="35" w:name="_Toc26648465"/>
      <w:bookmarkStart w:id="36" w:name="_Toc17233333"/>
      <w:bookmarkStart w:id="37" w:name="_Toc24884211"/>
      <w:bookmarkStart w:id="38" w:name="_Toc1723332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14:paraId="51B971E6">
      <w:pPr>
        <w:pStyle w:val="56"/>
        <w:ind w:firstLine="420"/>
      </w:pPr>
      <w:bookmarkStart w:id="39" w:name="_Toc26648466"/>
      <w:bookmarkStart w:id="40" w:name="_Toc24884219"/>
      <w:bookmarkStart w:id="41" w:name="_Toc17233334"/>
      <w:bookmarkStart w:id="42" w:name="_Toc24884212"/>
      <w:bookmarkStart w:id="43" w:name="_Toc17233326"/>
      <w:r>
        <w:rPr>
          <w:rFonts w:hint="eastAsia"/>
        </w:rPr>
        <w:t>本标准规定了安全评价档案管理的基本要求、基础档案管理要求、评价项目档案管理要求、安全评价师技术档案管理要求、仪器设备档案管理要求、档案保管要求以及档案保存期限。</w:t>
      </w:r>
    </w:p>
    <w:p w14:paraId="70D429E5">
      <w:pPr>
        <w:pStyle w:val="56"/>
        <w:ind w:firstLine="420"/>
      </w:pPr>
      <w:r>
        <w:rPr>
          <w:rFonts w:hint="eastAsia"/>
        </w:rPr>
        <w:t>本标准适用于从事安全评价的技术服务机构对安全评价机构基础档案、评价档案、人员技术档案以及仪器设备档案的管理，相关法律法规另有规定的除外。</w:t>
      </w:r>
    </w:p>
    <w:p w14:paraId="3487EA70">
      <w:pPr>
        <w:pStyle w:val="104"/>
        <w:spacing w:before="312" w:after="312"/>
      </w:pPr>
      <w:bookmarkStart w:id="44" w:name="_Toc26718931"/>
      <w:bookmarkStart w:id="45" w:name="_Toc26986531"/>
      <w:bookmarkStart w:id="46" w:name="_Toc26986772"/>
      <w:bookmarkStart w:id="47" w:name="_Toc97191424"/>
      <w:bookmarkStart w:id="48" w:name="_Toc182832961"/>
      <w:bookmarkStart w:id="49" w:name="_Toc182836604"/>
      <w:bookmarkStart w:id="50" w:name="_Toc182836659"/>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3B0BE430634344DBA5056C3845FC091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46FF2B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EF8F837">
      <w:pPr>
        <w:pStyle w:val="56"/>
        <w:ind w:firstLine="420"/>
      </w:pPr>
      <w:r>
        <w:rPr>
          <w:rFonts w:hint="eastAsia"/>
        </w:rPr>
        <w:t>GB/T 1.1 标准化工作导则 第1部分：标准化文件的结构和起草规则</w:t>
      </w:r>
    </w:p>
    <w:p w14:paraId="1D2732BD">
      <w:pPr>
        <w:pStyle w:val="56"/>
        <w:ind w:firstLine="420"/>
      </w:pPr>
      <w:r>
        <w:rPr>
          <w:rFonts w:hint="eastAsia"/>
        </w:rPr>
        <w:t>GB/T 11822  科学技术档案案卷构成的一般要求</w:t>
      </w:r>
    </w:p>
    <w:p w14:paraId="7ECFD8D5">
      <w:pPr>
        <w:pStyle w:val="56"/>
        <w:ind w:firstLine="420"/>
      </w:pPr>
      <w:r>
        <w:rPr>
          <w:rFonts w:hint="eastAsia"/>
        </w:rPr>
        <w:t>GB/T 18894  电子文件归档与电子档案管理规范</w:t>
      </w:r>
    </w:p>
    <w:p w14:paraId="460F0CE5">
      <w:pPr>
        <w:pStyle w:val="56"/>
        <w:ind w:firstLine="420"/>
      </w:pPr>
      <w:r>
        <w:rPr>
          <w:rFonts w:hint="eastAsia"/>
        </w:rPr>
        <w:t>DA/T 1  档案工作基本术语</w:t>
      </w:r>
    </w:p>
    <w:p w14:paraId="243C224B">
      <w:pPr>
        <w:pStyle w:val="56"/>
        <w:ind w:firstLine="420"/>
      </w:pPr>
      <w:r>
        <w:rPr>
          <w:rFonts w:hint="eastAsia"/>
        </w:rPr>
        <w:t>DA/T 22  归档文件整理规则</w:t>
      </w:r>
    </w:p>
    <w:p w14:paraId="1E2853D2">
      <w:pPr>
        <w:pStyle w:val="56"/>
        <w:ind w:firstLine="420"/>
      </w:pPr>
      <w:r>
        <w:rPr>
          <w:rFonts w:hint="eastAsia"/>
        </w:rPr>
        <w:t>AQ/T8001  安全评价通则</w:t>
      </w:r>
    </w:p>
    <w:p w14:paraId="29A4E6CA">
      <w:pPr>
        <w:pStyle w:val="104"/>
        <w:spacing w:before="312" w:after="312"/>
      </w:pPr>
      <w:bookmarkStart w:id="51" w:name="_Toc182836660"/>
      <w:bookmarkStart w:id="52" w:name="_Toc182836605"/>
      <w:bookmarkStart w:id="53" w:name="_Toc182832962"/>
      <w:bookmarkStart w:id="54" w:name="_Toc97191425"/>
      <w:r>
        <w:rPr>
          <w:rFonts w:hint="eastAsia"/>
          <w:szCs w:val="21"/>
        </w:rPr>
        <w:t>术语和定义</w:t>
      </w:r>
      <w:bookmarkEnd w:id="51"/>
      <w:bookmarkEnd w:id="52"/>
      <w:bookmarkEnd w:id="53"/>
      <w:bookmarkEnd w:id="54"/>
    </w:p>
    <w:sdt>
      <w:sdtPr>
        <w:id w:val="-1909835108"/>
        <w:placeholder>
          <w:docPart w:val="726AE5FA203A4AE1B3E71D6E898D9F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D5D2AA7">
          <w:pPr>
            <w:pStyle w:val="56"/>
            <w:ind w:firstLine="420"/>
          </w:pPr>
          <w:bookmarkStart w:id="55" w:name="_Toc26986532"/>
          <w:bookmarkEnd w:id="55"/>
          <w:r>
            <w:t>下列术语和定义适用于本文件。</w:t>
          </w:r>
        </w:p>
      </w:sdtContent>
    </w:sdt>
    <w:p w14:paraId="562F18C2">
      <w:pPr>
        <w:pStyle w:val="105"/>
        <w:spacing w:before="156" w:after="156"/>
        <w:ind w:left="0"/>
        <w:rPr>
          <w:rFonts w:hAnsi="黑体"/>
        </w:rPr>
      </w:pPr>
      <w:bookmarkStart w:id="56" w:name="_Toc182836606"/>
      <w:r>
        <w:rPr>
          <w:rFonts w:hAnsi="黑体"/>
        </w:rPr>
        <w:br w:type="textWrapping"/>
      </w:r>
      <w:r>
        <w:rPr>
          <w:rFonts w:hint="eastAsia" w:hAnsi="黑体"/>
        </w:rPr>
        <w:t xml:space="preserve">    档案管理archives management</w:t>
      </w:r>
    </w:p>
    <w:p w14:paraId="590BCF73">
      <w:pPr>
        <w:pStyle w:val="56"/>
        <w:ind w:firstLine="420"/>
      </w:pPr>
      <w:r>
        <w:rPr>
          <w:rFonts w:hint="eastAsia"/>
        </w:rPr>
        <w:t>对国家机构、社会组织以及个人在社会活动中形成的有保存价值的材料进行收集、整理、保管、鉴定、统计和利用等。</w:t>
      </w:r>
    </w:p>
    <w:p w14:paraId="11608FD3">
      <w:pPr>
        <w:pStyle w:val="105"/>
        <w:spacing w:before="156" w:after="156"/>
        <w:ind w:left="0"/>
        <w:rPr>
          <w:rFonts w:hAnsi="黑体"/>
        </w:rPr>
      </w:pPr>
      <w:r>
        <w:rPr>
          <w:rFonts w:hAnsi="黑体"/>
        </w:rPr>
        <w:br w:type="textWrapping"/>
      </w:r>
      <w:r>
        <w:rPr>
          <w:rFonts w:hint="eastAsia" w:hAnsi="黑体"/>
        </w:rPr>
        <w:t xml:space="preserve">    安全评价档案technical archives of Safety evaluation</w:t>
      </w:r>
    </w:p>
    <w:p w14:paraId="00CCD066">
      <w:pPr>
        <w:pStyle w:val="56"/>
        <w:ind w:firstLine="420"/>
      </w:pPr>
      <w:r>
        <w:rPr>
          <w:rFonts w:hint="eastAsia"/>
        </w:rPr>
        <w:t>安全评价档案是指安全评价机构在技术服务及日常管理过程中形成的具有保存价值的各种文字、图表、声像资料等，主要包括基础档案、评价项目档案、人员技术档案、仪器设备档案。</w:t>
      </w:r>
    </w:p>
    <w:p w14:paraId="1CD14751">
      <w:pPr>
        <w:pStyle w:val="105"/>
        <w:spacing w:before="156" w:after="156"/>
        <w:ind w:left="0"/>
        <w:rPr>
          <w:rFonts w:hAnsi="黑体"/>
        </w:rPr>
      </w:pPr>
      <w:r>
        <w:rPr>
          <w:rFonts w:hAnsi="黑体"/>
        </w:rPr>
        <w:br w:type="textWrapping"/>
      </w:r>
      <w:r>
        <w:rPr>
          <w:rFonts w:hint="eastAsia" w:hAnsi="黑体"/>
        </w:rPr>
        <w:t xml:space="preserve">    电子档案  electronic archives</w:t>
      </w:r>
    </w:p>
    <w:p w14:paraId="5C4F3603">
      <w:pPr>
        <w:pStyle w:val="56"/>
        <w:ind w:firstLine="420"/>
      </w:pPr>
      <w:r>
        <w:rPr>
          <w:rFonts w:hint="eastAsia"/>
        </w:rPr>
        <w:t>电子文件以数码形式记录于磁带、磁盘、光盘等载体，依赖计算机系统阅读、处理并可在通信网络上传输的文件。</w:t>
      </w:r>
    </w:p>
    <w:bookmarkEnd w:id="56"/>
    <w:p w14:paraId="32A06865">
      <w:pPr>
        <w:pStyle w:val="104"/>
        <w:spacing w:before="312" w:after="312"/>
      </w:pPr>
      <w:bookmarkStart w:id="57" w:name="_Toc182836661"/>
      <w:bookmarkStart w:id="58" w:name="_Toc182836609"/>
      <w:r>
        <w:rPr>
          <w:rFonts w:hint="eastAsia"/>
        </w:rPr>
        <w:t>基本要求</w:t>
      </w:r>
      <w:bookmarkEnd w:id="57"/>
      <w:bookmarkEnd w:id="58"/>
    </w:p>
    <w:p w14:paraId="6C983FE5">
      <w:pPr>
        <w:pStyle w:val="105"/>
        <w:spacing w:before="156" w:after="156"/>
        <w:ind w:left="0"/>
        <w:rPr>
          <w:rFonts w:ascii="宋体" w:eastAsia="宋体"/>
        </w:rPr>
      </w:pPr>
      <w:bookmarkStart w:id="59" w:name="_Toc182836610"/>
      <w:r>
        <w:rPr>
          <w:rFonts w:hint="eastAsia" w:ascii="宋体" w:eastAsia="宋体"/>
        </w:rPr>
        <w:t>安全评价机构应建立安全评价档案管理制度，明确责任部门和相关人员的职责，对本单位安全评价各类技术资料做好收集、整理、立卷、装盒、归档、保管和销毁等工作。</w:t>
      </w:r>
      <w:bookmarkEnd w:id="59"/>
    </w:p>
    <w:p w14:paraId="2F29A9F8">
      <w:pPr>
        <w:pStyle w:val="105"/>
        <w:spacing w:before="156" w:after="156"/>
        <w:ind w:left="0"/>
        <w:rPr>
          <w:rFonts w:ascii="宋体" w:eastAsia="宋体"/>
        </w:rPr>
      </w:pPr>
      <w:bookmarkStart w:id="60" w:name="_Toc182836611"/>
      <w:r>
        <w:rPr>
          <w:rFonts w:hint="eastAsia" w:ascii="宋体" w:eastAsia="宋体"/>
        </w:rPr>
        <w:t>安全评价机构应设置专（兼）职的档案管理员，负责档案室及档案日常管理工作。安全评价师超过50人的机构，应设置专职档案管理员。</w:t>
      </w:r>
      <w:bookmarkEnd w:id="60"/>
    </w:p>
    <w:p w14:paraId="677A0F1F">
      <w:pPr>
        <w:pStyle w:val="105"/>
        <w:spacing w:before="156" w:after="156"/>
        <w:ind w:left="0"/>
        <w:rPr>
          <w:rFonts w:ascii="宋体" w:eastAsia="宋体"/>
        </w:rPr>
      </w:pPr>
      <w:bookmarkStart w:id="61" w:name="_Toc182836612"/>
      <w:r>
        <w:rPr>
          <w:rFonts w:hint="eastAsia" w:ascii="宋体" w:eastAsia="宋体"/>
        </w:rPr>
        <w:t>档案管理员应熟悉档案管理工作。鼓励档案管理员学习安全评价有关知识。</w:t>
      </w:r>
      <w:bookmarkEnd w:id="61"/>
    </w:p>
    <w:p w14:paraId="7C97714B">
      <w:pPr>
        <w:pStyle w:val="105"/>
        <w:spacing w:before="156" w:after="156"/>
        <w:ind w:left="0"/>
        <w:rPr>
          <w:rFonts w:ascii="宋体" w:eastAsia="宋体"/>
        </w:rPr>
      </w:pPr>
      <w:bookmarkStart w:id="62" w:name="_Toc182836613"/>
      <w:r>
        <w:rPr>
          <w:rFonts w:hint="eastAsia" w:ascii="宋体" w:eastAsia="宋体"/>
        </w:rPr>
        <w:t>安全评价机构应设有独立的专用档案室，档案室的面积不得少于100m2，且应满足防盗、防火、防潮等要求，并有控制进入的安全措施。</w:t>
      </w:r>
      <w:bookmarkEnd w:id="62"/>
    </w:p>
    <w:p w14:paraId="5307BD4E">
      <w:pPr>
        <w:pStyle w:val="105"/>
        <w:spacing w:before="156" w:after="156"/>
        <w:ind w:left="0"/>
        <w:rPr>
          <w:rFonts w:ascii="宋体" w:eastAsia="宋体"/>
        </w:rPr>
      </w:pPr>
      <w:bookmarkStart w:id="63" w:name="_Toc182836614"/>
      <w:r>
        <w:rPr>
          <w:rFonts w:hint="eastAsia" w:ascii="宋体" w:eastAsia="宋体"/>
        </w:rPr>
        <w:t>档案室应配备必要的设施，包括档案柜（架）、档案盒、门禁、消防报警设备、温度和湿度控制设施及必要的桌椅等相关设备设施。</w:t>
      </w:r>
      <w:bookmarkEnd w:id="63"/>
    </w:p>
    <w:p w14:paraId="2638FE06">
      <w:pPr>
        <w:pStyle w:val="105"/>
        <w:spacing w:before="156" w:after="156"/>
        <w:ind w:left="0"/>
        <w:rPr>
          <w:rFonts w:ascii="宋体" w:eastAsia="宋体"/>
        </w:rPr>
      </w:pPr>
      <w:bookmarkStart w:id="64" w:name="_Toc182836615"/>
      <w:r>
        <w:rPr>
          <w:rFonts w:hint="eastAsia" w:ascii="宋体" w:eastAsia="宋体"/>
        </w:rPr>
        <w:t>档案同时存在纸质和电子两种载体形式的，在内容、相关说明及描述上应保持一致。不一致时，宜以纸质档案记载信息为准。</w:t>
      </w:r>
      <w:bookmarkEnd w:id="64"/>
    </w:p>
    <w:p w14:paraId="63EF9C99">
      <w:pPr>
        <w:pStyle w:val="105"/>
        <w:spacing w:before="156" w:after="156"/>
        <w:ind w:left="0"/>
        <w:rPr>
          <w:rFonts w:ascii="宋体" w:eastAsia="宋体"/>
        </w:rPr>
      </w:pPr>
      <w:bookmarkStart w:id="65" w:name="_Toc182836616"/>
      <w:r>
        <w:rPr>
          <w:rFonts w:hint="eastAsia" w:ascii="宋体" w:eastAsia="宋体"/>
        </w:rPr>
        <w:t>安全评价档案实行电子化管理的，应按照国家法律法规和标准规范的要求，采取有效的档案管理措施，保证档案的真实性、完整性、安全性和可溯源性。</w:t>
      </w:r>
      <w:bookmarkEnd w:id="65"/>
    </w:p>
    <w:p w14:paraId="2EEC7516">
      <w:pPr>
        <w:pStyle w:val="105"/>
        <w:spacing w:before="156" w:after="156"/>
        <w:ind w:left="0"/>
        <w:rPr>
          <w:rFonts w:ascii="宋体" w:eastAsia="宋体"/>
        </w:rPr>
      </w:pPr>
      <w:bookmarkStart w:id="66" w:name="_Toc182836617"/>
      <w:r>
        <w:rPr>
          <w:rFonts w:hint="eastAsia" w:ascii="宋体" w:eastAsia="宋体"/>
        </w:rPr>
        <w:t>安全评价机构主要负责人是本单位安全评价档案管理工作的第一责任人，应指派1名档案分管负责人具体负责本单位档案管理工作。</w:t>
      </w:r>
      <w:bookmarkEnd w:id="66"/>
    </w:p>
    <w:p w14:paraId="275E9B4B">
      <w:pPr>
        <w:pStyle w:val="105"/>
        <w:spacing w:before="156" w:after="156"/>
        <w:ind w:left="0"/>
        <w:rPr>
          <w:rFonts w:ascii="宋体" w:eastAsia="宋体"/>
        </w:rPr>
      </w:pPr>
      <w:bookmarkStart w:id="67" w:name="_Toc182836618"/>
      <w:r>
        <w:rPr>
          <w:rFonts w:hint="eastAsia" w:ascii="宋体" w:eastAsia="宋体"/>
        </w:rPr>
        <w:t>安全评价机构是档案管理的责任主体，应对本单位的评价档案损坏、散失、失密等承担全部责任。</w:t>
      </w:r>
      <w:bookmarkEnd w:id="67"/>
    </w:p>
    <w:p w14:paraId="55CEBB71">
      <w:pPr>
        <w:pStyle w:val="105"/>
        <w:spacing w:before="156" w:after="156"/>
        <w:ind w:left="0"/>
        <w:rPr>
          <w:rFonts w:ascii="宋体" w:eastAsia="宋体"/>
        </w:rPr>
      </w:pPr>
      <w:bookmarkStart w:id="68" w:name="_Toc182836619"/>
      <w:r>
        <w:rPr>
          <w:rFonts w:hint="eastAsia" w:ascii="宋体" w:eastAsia="宋体"/>
        </w:rPr>
        <w:t>安全评价机构发生解散、破产等情形的，应及时报告资质认可机关，提出处置意见并妥善处置相关档案。</w:t>
      </w:r>
      <w:bookmarkEnd w:id="68"/>
    </w:p>
    <w:p w14:paraId="1A949753">
      <w:pPr>
        <w:pStyle w:val="104"/>
        <w:spacing w:before="312" w:after="312"/>
      </w:pPr>
      <w:bookmarkStart w:id="69" w:name="_Toc182836620"/>
      <w:bookmarkStart w:id="70" w:name="_Toc182836662"/>
      <w:r>
        <w:rPr>
          <w:rFonts w:hint="eastAsia"/>
        </w:rPr>
        <w:t>基础档案管理要求</w:t>
      </w:r>
      <w:bookmarkEnd w:id="69"/>
      <w:bookmarkEnd w:id="70"/>
    </w:p>
    <w:p w14:paraId="6A14D76A">
      <w:pPr>
        <w:pStyle w:val="105"/>
        <w:spacing w:before="156" w:after="156"/>
        <w:ind w:left="0"/>
        <w:rPr>
          <w:rFonts w:ascii="宋体" w:eastAsia="宋体"/>
        </w:rPr>
      </w:pPr>
      <w:bookmarkStart w:id="71" w:name="_Toc182836621"/>
      <w:r>
        <w:rPr>
          <w:rFonts w:hint="eastAsia" w:ascii="宋体" w:eastAsia="宋体"/>
        </w:rPr>
        <w:t>安全评价机构应以年度为单位建立本机构的基础档案。</w:t>
      </w:r>
      <w:bookmarkEnd w:id="71"/>
    </w:p>
    <w:p w14:paraId="2DA1DCF1">
      <w:pPr>
        <w:pStyle w:val="105"/>
        <w:spacing w:before="156" w:after="156"/>
        <w:ind w:left="0"/>
        <w:rPr>
          <w:rFonts w:ascii="宋体" w:eastAsia="宋体"/>
        </w:rPr>
      </w:pPr>
      <w:bookmarkStart w:id="72" w:name="_Toc182836622"/>
      <w:r>
        <w:rPr>
          <w:rFonts w:hint="eastAsia" w:ascii="宋体" w:eastAsia="宋体"/>
        </w:rPr>
        <w:t>安全评机构应指定专人负责基础档案资料的收集、整理，每年3月份之前完成更新。</w:t>
      </w:r>
      <w:bookmarkEnd w:id="72"/>
    </w:p>
    <w:p w14:paraId="459D2877">
      <w:pPr>
        <w:pStyle w:val="105"/>
        <w:spacing w:before="156" w:after="156"/>
        <w:ind w:left="0"/>
        <w:rPr>
          <w:rFonts w:ascii="宋体" w:eastAsia="宋体"/>
        </w:rPr>
      </w:pPr>
      <w:bookmarkStart w:id="73" w:name="_Toc182836623"/>
      <w:r>
        <w:rPr>
          <w:rFonts w:hint="eastAsia" w:ascii="宋体" w:eastAsia="宋体"/>
        </w:rPr>
        <w:t>基础档案应至少包括以下内容：</w:t>
      </w:r>
      <w:bookmarkEnd w:id="73"/>
    </w:p>
    <w:p w14:paraId="49C81B5E">
      <w:pPr>
        <w:pStyle w:val="109"/>
        <w:ind w:left="1264" w:leftChars="400" w:hanging="424" w:hangingChars="202"/>
      </w:pPr>
      <w:r>
        <w:rPr>
          <w:rFonts w:hint="eastAsia"/>
        </w:rPr>
        <w:t>营业执照影或法人证书影印件；</w:t>
      </w:r>
    </w:p>
    <w:p w14:paraId="0A197832">
      <w:pPr>
        <w:pStyle w:val="109"/>
        <w:ind w:left="1264" w:leftChars="400" w:hanging="424" w:hangingChars="202"/>
      </w:pPr>
      <w:r>
        <w:rPr>
          <w:rFonts w:hint="eastAsia"/>
        </w:rPr>
        <w:t>安全评价机构资质证书影印件；</w:t>
      </w:r>
    </w:p>
    <w:p w14:paraId="2B679A78">
      <w:pPr>
        <w:pStyle w:val="109"/>
        <w:ind w:left="1264" w:leftChars="400" w:hanging="424" w:hangingChars="202"/>
      </w:pPr>
      <w:r>
        <w:rPr>
          <w:rFonts w:hint="eastAsia"/>
        </w:rPr>
        <w:t>法人承诺书原件；</w:t>
      </w:r>
    </w:p>
    <w:p w14:paraId="6413B6A1">
      <w:pPr>
        <w:pStyle w:val="109"/>
        <w:ind w:left="1264" w:leftChars="400" w:hanging="424" w:hangingChars="202"/>
      </w:pPr>
      <w:r>
        <w:rPr>
          <w:rFonts w:hint="eastAsia"/>
        </w:rPr>
        <w:t>过程控制手册、程序文件、作业指导书、记录表格（文件）；</w:t>
      </w:r>
    </w:p>
    <w:p w14:paraId="7718B78F">
      <w:pPr>
        <w:pStyle w:val="109"/>
        <w:ind w:left="1264" w:leftChars="400" w:hanging="424" w:hangingChars="202"/>
      </w:pPr>
      <w:r>
        <w:rPr>
          <w:rFonts w:hint="eastAsia"/>
        </w:rPr>
        <w:t>过程控制体系运行过程中形成的文件和记录（含人员培训计划和记录）；</w:t>
      </w:r>
    </w:p>
    <w:p w14:paraId="1B8FB919">
      <w:pPr>
        <w:pStyle w:val="109"/>
        <w:ind w:left="1264" w:leftChars="400" w:hanging="424" w:hangingChars="202"/>
      </w:pPr>
      <w:r>
        <w:rPr>
          <w:rFonts w:hint="eastAsia"/>
        </w:rPr>
        <w:t>安全评价师基本信息汇总表（含人员签字）；</w:t>
      </w:r>
    </w:p>
    <w:p w14:paraId="44ADA446">
      <w:pPr>
        <w:pStyle w:val="109"/>
        <w:ind w:left="1264" w:leftChars="400" w:hanging="424" w:hangingChars="202"/>
      </w:pPr>
      <w:r>
        <w:rPr>
          <w:rFonts w:hint="eastAsia"/>
        </w:rPr>
        <w:t>安全评价师资格证书原件或影印件；</w:t>
      </w:r>
    </w:p>
    <w:p w14:paraId="14B097D2">
      <w:pPr>
        <w:pStyle w:val="109"/>
        <w:ind w:left="1264" w:leftChars="400" w:hanging="424" w:hangingChars="202"/>
      </w:pPr>
      <w:r>
        <w:rPr>
          <w:rFonts w:hint="eastAsia"/>
        </w:rPr>
        <w:t>安全评价师学历证书、技术职称证书及认定专业能力有关证明文件等的影印件；</w:t>
      </w:r>
    </w:p>
    <w:p w14:paraId="7ADF812C">
      <w:pPr>
        <w:pStyle w:val="109"/>
        <w:ind w:left="1264" w:leftChars="400" w:hanging="424" w:hangingChars="202"/>
      </w:pPr>
      <w:r>
        <w:rPr>
          <w:rFonts w:hint="eastAsia"/>
        </w:rPr>
        <w:t>安全评价师法定劳动关系证明材料影印件（包括劳动合同，基本养老保险、失业保险、基本医疗保险和工伤保险有效证明或住房公积金有效缴存证明）；</w:t>
      </w:r>
    </w:p>
    <w:p w14:paraId="4B4FBE0B">
      <w:pPr>
        <w:pStyle w:val="109"/>
        <w:ind w:left="1264" w:leftChars="400" w:hanging="424" w:hangingChars="202"/>
      </w:pPr>
      <w:r>
        <w:rPr>
          <w:rFonts w:hint="eastAsia"/>
        </w:rPr>
        <w:t>仪器设备基本信息汇总表（类别、仪器编号、名称、规格型号、生产厂家、检定或校准证书有效期和证书编号、有效期）；</w:t>
      </w:r>
    </w:p>
    <w:p w14:paraId="6A81DAB5">
      <w:pPr>
        <w:pStyle w:val="109"/>
        <w:ind w:left="1264" w:leftChars="400" w:hanging="424" w:hangingChars="202"/>
      </w:pPr>
      <w:r>
        <w:rPr>
          <w:rFonts w:hint="eastAsia"/>
        </w:rPr>
        <w:t>其他与安全评价技术服务相关的基础档案；</w:t>
      </w:r>
    </w:p>
    <w:p w14:paraId="608CDA51">
      <w:pPr>
        <w:pStyle w:val="109"/>
        <w:ind w:left="1264" w:leftChars="400" w:hanging="424" w:hangingChars="202"/>
      </w:pPr>
      <w:r>
        <w:rPr>
          <w:rFonts w:hint="eastAsia"/>
        </w:rPr>
        <w:t>本年度的内部审核计划及记录；</w:t>
      </w:r>
    </w:p>
    <w:p w14:paraId="7E8D37DF">
      <w:pPr>
        <w:pStyle w:val="109"/>
        <w:ind w:left="1264" w:leftChars="400" w:hanging="424" w:hangingChars="202"/>
      </w:pPr>
      <w:r>
        <w:rPr>
          <w:rFonts w:hint="eastAsia"/>
        </w:rPr>
        <w:t>本年度管理评审计划及记录。</w:t>
      </w:r>
    </w:p>
    <w:p w14:paraId="36531F25">
      <w:pPr>
        <w:pStyle w:val="104"/>
        <w:spacing w:before="312" w:after="312"/>
      </w:pPr>
      <w:bookmarkStart w:id="74" w:name="_Toc182836624"/>
      <w:bookmarkStart w:id="75" w:name="_Toc182836663"/>
      <w:r>
        <w:rPr>
          <w:rFonts w:hint="eastAsia"/>
        </w:rPr>
        <w:t>评价项目档案管理要求</w:t>
      </w:r>
      <w:bookmarkEnd w:id="74"/>
      <w:bookmarkEnd w:id="75"/>
    </w:p>
    <w:p w14:paraId="0DB9918E">
      <w:pPr>
        <w:pStyle w:val="105"/>
        <w:spacing w:before="156" w:after="156"/>
        <w:ind w:left="0"/>
        <w:rPr>
          <w:rFonts w:ascii="宋体" w:eastAsia="宋体"/>
        </w:rPr>
      </w:pPr>
      <w:bookmarkStart w:id="76" w:name="_Toc182836625"/>
      <w:r>
        <w:rPr>
          <w:rFonts w:hint="eastAsia" w:ascii="宋体" w:eastAsia="宋体"/>
        </w:rPr>
        <w:t>安全评价机构应按照“一项目一档案”的立档原则建立评价档案。</w:t>
      </w:r>
      <w:bookmarkEnd w:id="76"/>
    </w:p>
    <w:p w14:paraId="380CEE11">
      <w:pPr>
        <w:pStyle w:val="105"/>
        <w:spacing w:before="156" w:after="156"/>
        <w:ind w:left="0"/>
        <w:rPr>
          <w:rFonts w:ascii="宋体" w:eastAsia="宋体"/>
        </w:rPr>
      </w:pPr>
      <w:bookmarkStart w:id="77" w:name="_Toc182836626"/>
      <w:r>
        <w:rPr>
          <w:rFonts w:hint="eastAsia" w:ascii="宋体" w:eastAsia="宋体"/>
        </w:rPr>
        <w:t>评价档案可采用电子版或纸质版归档文件。</w:t>
      </w:r>
      <w:bookmarkEnd w:id="77"/>
    </w:p>
    <w:p w14:paraId="7F59559B">
      <w:pPr>
        <w:pStyle w:val="105"/>
        <w:spacing w:before="156" w:after="156"/>
        <w:ind w:left="0"/>
        <w:rPr>
          <w:rFonts w:ascii="宋体" w:eastAsia="宋体"/>
        </w:rPr>
      </w:pPr>
      <w:bookmarkStart w:id="78" w:name="_Toc182836627"/>
      <w:r>
        <w:rPr>
          <w:rFonts w:hint="eastAsia" w:ascii="宋体" w:eastAsia="宋体"/>
        </w:rPr>
        <w:t>每项安全评价档案应至少包括以下内容：</w:t>
      </w:r>
      <w:bookmarkEnd w:id="78"/>
    </w:p>
    <w:p w14:paraId="2323676D">
      <w:pPr>
        <w:pStyle w:val="109"/>
        <w:numPr>
          <w:ilvl w:val="1"/>
          <w:numId w:val="32"/>
        </w:numPr>
        <w:ind w:left="1264" w:leftChars="400" w:hanging="424" w:hangingChars="202"/>
      </w:pPr>
      <w:r>
        <w:rPr>
          <w:rFonts w:hint="eastAsia"/>
        </w:rPr>
        <w:t>风险分析记录；</w:t>
      </w:r>
    </w:p>
    <w:p w14:paraId="1DDE63EF">
      <w:pPr>
        <w:pStyle w:val="109"/>
        <w:numPr>
          <w:ilvl w:val="1"/>
          <w:numId w:val="32"/>
        </w:numPr>
        <w:ind w:left="1264" w:leftChars="400" w:hanging="424" w:hangingChars="202"/>
      </w:pPr>
      <w:r>
        <w:rPr>
          <w:rFonts w:hint="eastAsia"/>
        </w:rPr>
        <w:t>被评价单位评价委托书（或评价合同）；</w:t>
      </w:r>
    </w:p>
    <w:p w14:paraId="2DE321EF">
      <w:pPr>
        <w:pStyle w:val="109"/>
        <w:numPr>
          <w:ilvl w:val="1"/>
          <w:numId w:val="32"/>
        </w:numPr>
        <w:ind w:left="1264" w:leftChars="400" w:hanging="424" w:hangingChars="202"/>
      </w:pPr>
      <w:r>
        <w:rPr>
          <w:rFonts w:hint="eastAsia"/>
        </w:rPr>
        <w:t>评价任务通知书；</w:t>
      </w:r>
    </w:p>
    <w:p w14:paraId="4526ED0B">
      <w:pPr>
        <w:pStyle w:val="109"/>
        <w:numPr>
          <w:ilvl w:val="1"/>
          <w:numId w:val="32"/>
        </w:numPr>
        <w:ind w:left="1264" w:leftChars="400" w:hanging="424" w:hangingChars="202"/>
      </w:pPr>
      <w:r>
        <w:rPr>
          <w:rFonts w:hint="eastAsia"/>
        </w:rPr>
        <w:t>评价计划书；</w:t>
      </w:r>
    </w:p>
    <w:p w14:paraId="2C47C151">
      <w:pPr>
        <w:pStyle w:val="109"/>
        <w:numPr>
          <w:ilvl w:val="1"/>
          <w:numId w:val="32"/>
        </w:numPr>
        <w:ind w:left="1264" w:leftChars="400" w:hanging="424" w:hangingChars="202"/>
      </w:pPr>
      <w:r>
        <w:rPr>
          <w:rFonts w:hint="eastAsia"/>
        </w:rPr>
        <w:t>现场考察原始记录；</w:t>
      </w:r>
    </w:p>
    <w:p w14:paraId="4B0EDEEC">
      <w:pPr>
        <w:pStyle w:val="109"/>
        <w:numPr>
          <w:ilvl w:val="1"/>
          <w:numId w:val="32"/>
        </w:numPr>
        <w:ind w:left="1264" w:leftChars="400" w:hanging="424" w:hangingChars="202"/>
      </w:pPr>
      <w:r>
        <w:rPr>
          <w:rFonts w:hint="eastAsia"/>
        </w:rPr>
        <w:t>客户提供的原始材料（含法定检测检验报告复印件）及清单；</w:t>
      </w:r>
    </w:p>
    <w:p w14:paraId="68C4A480">
      <w:pPr>
        <w:pStyle w:val="109"/>
        <w:numPr>
          <w:ilvl w:val="1"/>
          <w:numId w:val="32"/>
        </w:numPr>
        <w:ind w:left="1264" w:leftChars="400" w:hanging="424" w:hangingChars="202"/>
      </w:pPr>
      <w:r>
        <w:rPr>
          <w:rFonts w:hint="eastAsia"/>
        </w:rPr>
        <w:t>评价报告内部审核痕迹稿；</w:t>
      </w:r>
    </w:p>
    <w:p w14:paraId="064EF712">
      <w:pPr>
        <w:pStyle w:val="109"/>
        <w:numPr>
          <w:ilvl w:val="1"/>
          <w:numId w:val="32"/>
        </w:numPr>
        <w:ind w:left="1264" w:leftChars="400" w:hanging="424" w:hangingChars="202"/>
      </w:pPr>
      <w:r>
        <w:rPr>
          <w:rFonts w:hint="eastAsia"/>
        </w:rPr>
        <w:t>评价报告内部审核记录表；</w:t>
      </w:r>
    </w:p>
    <w:p w14:paraId="5C40B11C">
      <w:pPr>
        <w:pStyle w:val="109"/>
        <w:numPr>
          <w:ilvl w:val="1"/>
          <w:numId w:val="32"/>
        </w:numPr>
        <w:ind w:left="1264" w:leftChars="400" w:hanging="424" w:hangingChars="202"/>
      </w:pPr>
      <w:r>
        <w:rPr>
          <w:rFonts w:hint="eastAsia"/>
        </w:rPr>
        <w:t>评价报告技术负责人审核痕迹稿；</w:t>
      </w:r>
    </w:p>
    <w:p w14:paraId="66F7A315">
      <w:pPr>
        <w:pStyle w:val="109"/>
        <w:numPr>
          <w:ilvl w:val="1"/>
          <w:numId w:val="32"/>
        </w:numPr>
        <w:ind w:left="1264" w:leftChars="400" w:hanging="424" w:hangingChars="202"/>
      </w:pPr>
      <w:r>
        <w:rPr>
          <w:rFonts w:hint="eastAsia"/>
        </w:rPr>
        <w:t>评价报告技术负责人审核记录表；</w:t>
      </w:r>
    </w:p>
    <w:p w14:paraId="7250D515">
      <w:pPr>
        <w:pStyle w:val="109"/>
        <w:numPr>
          <w:ilvl w:val="1"/>
          <w:numId w:val="32"/>
        </w:numPr>
        <w:ind w:left="1264" w:leftChars="400" w:hanging="424" w:hangingChars="202"/>
      </w:pPr>
      <w:r>
        <w:rPr>
          <w:rFonts w:hint="eastAsia"/>
        </w:rPr>
        <w:t>过程控制负责人审核记录表；</w:t>
      </w:r>
    </w:p>
    <w:p w14:paraId="32CAEA4E">
      <w:pPr>
        <w:pStyle w:val="109"/>
        <w:numPr>
          <w:ilvl w:val="1"/>
          <w:numId w:val="32"/>
        </w:numPr>
        <w:ind w:left="1264" w:leftChars="400" w:hanging="424" w:hangingChars="202"/>
      </w:pPr>
      <w:r>
        <w:rPr>
          <w:rFonts w:hint="eastAsia"/>
        </w:rPr>
        <w:t>评价报告报审稿（纸质版）；</w:t>
      </w:r>
    </w:p>
    <w:p w14:paraId="14E7E9B9">
      <w:pPr>
        <w:pStyle w:val="109"/>
        <w:numPr>
          <w:ilvl w:val="1"/>
          <w:numId w:val="32"/>
        </w:numPr>
        <w:ind w:left="1264" w:leftChars="400" w:hanging="424" w:hangingChars="202"/>
      </w:pPr>
      <w:r>
        <w:rPr>
          <w:rFonts w:hint="eastAsia"/>
        </w:rPr>
        <w:t>评价报告外审意见；</w:t>
      </w:r>
    </w:p>
    <w:p w14:paraId="5EDE28B5">
      <w:pPr>
        <w:pStyle w:val="109"/>
        <w:numPr>
          <w:ilvl w:val="1"/>
          <w:numId w:val="32"/>
        </w:numPr>
        <w:ind w:left="1264" w:leftChars="400" w:hanging="424" w:hangingChars="202"/>
      </w:pPr>
      <w:r>
        <w:rPr>
          <w:rFonts w:hint="eastAsia"/>
        </w:rPr>
        <w:t>评价报告修改说明；</w:t>
      </w:r>
    </w:p>
    <w:p w14:paraId="5A98909C">
      <w:pPr>
        <w:pStyle w:val="109"/>
        <w:numPr>
          <w:ilvl w:val="1"/>
          <w:numId w:val="32"/>
        </w:numPr>
        <w:ind w:left="1264" w:leftChars="400" w:hanging="424" w:hangingChars="202"/>
      </w:pPr>
      <w:r>
        <w:rPr>
          <w:rFonts w:hint="eastAsia"/>
        </w:rPr>
        <w:t>评价报告备案稿（纸质版）；</w:t>
      </w:r>
    </w:p>
    <w:p w14:paraId="5F8A9619">
      <w:pPr>
        <w:pStyle w:val="109"/>
        <w:numPr>
          <w:ilvl w:val="1"/>
          <w:numId w:val="32"/>
        </w:numPr>
        <w:ind w:left="1264" w:leftChars="400" w:hanging="424" w:hangingChars="202"/>
      </w:pPr>
      <w:r>
        <w:rPr>
          <w:rFonts w:hint="eastAsia"/>
        </w:rPr>
        <w:t>安全评价工作业绩记录表；</w:t>
      </w:r>
    </w:p>
    <w:p w14:paraId="7A120643">
      <w:pPr>
        <w:pStyle w:val="109"/>
        <w:numPr>
          <w:ilvl w:val="1"/>
          <w:numId w:val="32"/>
        </w:numPr>
        <w:ind w:left="1264" w:leftChars="400" w:hanging="424" w:hangingChars="202"/>
      </w:pPr>
      <w:r>
        <w:rPr>
          <w:rFonts w:hint="eastAsia"/>
        </w:rPr>
        <w:t>安全评价从业告知书；</w:t>
      </w:r>
    </w:p>
    <w:p w14:paraId="642D7447">
      <w:pPr>
        <w:pStyle w:val="109"/>
        <w:numPr>
          <w:ilvl w:val="1"/>
          <w:numId w:val="32"/>
        </w:numPr>
        <w:ind w:left="1264" w:leftChars="400" w:hanging="424" w:hangingChars="202"/>
      </w:pPr>
      <w:r>
        <w:rPr>
          <w:rFonts w:hint="eastAsia"/>
        </w:rPr>
        <w:t>评价过程中采集的各类影像资料。</w:t>
      </w:r>
    </w:p>
    <w:p w14:paraId="140D1F9F">
      <w:pPr>
        <w:pStyle w:val="105"/>
        <w:spacing w:before="156" w:after="156"/>
        <w:ind w:left="0"/>
        <w:rPr>
          <w:rFonts w:ascii="宋体" w:eastAsia="宋体"/>
        </w:rPr>
      </w:pPr>
      <w:bookmarkStart w:id="79" w:name="_Toc182836628"/>
      <w:r>
        <w:rPr>
          <w:rFonts w:hint="eastAsia" w:ascii="宋体" w:eastAsia="宋体"/>
        </w:rPr>
        <w:t>技术服务机构应在对项目组下达项目任务书的同时，派发项目编号，项目编号应连续且唯一。若项目任务书下达后项目中止，该项目的项目负责人应及时向负责发放项目编号的部门报告，相关部门要做好登记，确保空缺的项目编号有据可循。</w:t>
      </w:r>
      <w:bookmarkEnd w:id="79"/>
    </w:p>
    <w:p w14:paraId="78F3C6B7">
      <w:pPr>
        <w:pStyle w:val="105"/>
        <w:spacing w:before="156" w:after="156"/>
        <w:ind w:left="0"/>
        <w:rPr>
          <w:rFonts w:ascii="宋体" w:eastAsia="宋体"/>
        </w:rPr>
      </w:pPr>
      <w:r>
        <w:rPr>
          <w:rFonts w:hint="eastAsia" w:ascii="宋体" w:eastAsia="宋体"/>
        </w:rPr>
        <w:t>评价档案以技术服务项目为单位，档案材料收集整理工作完成后，各项目组应编制归档目录（参考格式见附录B），归档人、项目负责人审核后签字确认。档案材料移交给档案管理员后，档案管理员应对照归档目录对归档材料进行形式审查，核对无误后签字办理归档交接手续。归档工作应当自报告签发之日起的20个工作日之内完成。</w:t>
      </w:r>
    </w:p>
    <w:p w14:paraId="6FECF52F">
      <w:pPr>
        <w:pStyle w:val="105"/>
        <w:spacing w:before="156" w:after="156"/>
        <w:ind w:left="0"/>
        <w:rPr>
          <w:rFonts w:ascii="宋体" w:eastAsia="宋体"/>
        </w:rPr>
      </w:pPr>
      <w:bookmarkStart w:id="80" w:name="_Toc182836629"/>
      <w:r>
        <w:rPr>
          <w:rFonts w:hint="eastAsia" w:ascii="宋体" w:eastAsia="宋体"/>
        </w:rPr>
        <w:t>评价档案经核对无误后，由档案管理员对非装订成册材料按形成时间先后顺序排列，并按“第几页共几页”的格式统一编写页码，建立索引和目录。编码后的有关评价资料应装订成册，资料较多的可分册装订。</w:t>
      </w:r>
      <w:bookmarkEnd w:id="80"/>
    </w:p>
    <w:p w14:paraId="0B167F04">
      <w:pPr>
        <w:pStyle w:val="105"/>
        <w:spacing w:before="156" w:after="156"/>
        <w:ind w:left="0"/>
        <w:rPr>
          <w:rFonts w:ascii="宋体" w:eastAsia="宋体"/>
        </w:rPr>
      </w:pPr>
      <w:bookmarkStart w:id="81" w:name="_Toc182836630"/>
      <w:r>
        <w:rPr>
          <w:rFonts w:hint="eastAsia" w:ascii="宋体" w:eastAsia="宋体"/>
        </w:rPr>
        <w:t>评价项目的项目负责人对该项目归档材料的真实性、完整性和规范性负总责。负责归档的项目组成员对归档材料的完整性和规范性具体负责；负责形成或收集档案材料的项目组成员对相关材料的真实性具体负责。</w:t>
      </w:r>
      <w:bookmarkEnd w:id="81"/>
    </w:p>
    <w:p w14:paraId="7BDA1FB7">
      <w:pPr>
        <w:pStyle w:val="105"/>
        <w:spacing w:before="156" w:after="156"/>
        <w:ind w:left="0"/>
        <w:rPr>
          <w:rFonts w:ascii="宋体" w:eastAsia="宋体"/>
        </w:rPr>
      </w:pPr>
      <w:bookmarkStart w:id="82" w:name="_Toc182836631"/>
      <w:r>
        <w:rPr>
          <w:rFonts w:hint="eastAsia" w:ascii="宋体" w:eastAsia="宋体"/>
        </w:rPr>
        <w:t>各项目组应按照规定的档案内容形成和收集归档材料。相关材料原则上应保留原件，项目委托方提供的复印件上应有委托单位或其陪同人员的签章；评价过程形成的记录表格应保存原件，如必须誊写，原件应一并保存；档案材料中所有签名均应为本人签字；技术服务过程中形成的影像资料应同其他纸质材料一同归档。</w:t>
      </w:r>
      <w:bookmarkEnd w:id="82"/>
    </w:p>
    <w:p w14:paraId="078EFF22">
      <w:pPr>
        <w:pStyle w:val="105"/>
        <w:spacing w:before="156" w:after="156"/>
        <w:ind w:left="0"/>
        <w:rPr>
          <w:rFonts w:ascii="宋体" w:eastAsia="宋体"/>
        </w:rPr>
      </w:pPr>
      <w:bookmarkStart w:id="83" w:name="_Toc182836632"/>
      <w:r>
        <w:rPr>
          <w:rFonts w:hint="eastAsia" w:ascii="宋体" w:eastAsia="宋体"/>
        </w:rPr>
        <w:t>评价档案的档案盒面或盒脊应注明年度、项目名称、项目编号、类型（安全预评价（设立评价）、安全现状评价、安全验收评价等）、保管期限等信息。</w:t>
      </w:r>
      <w:bookmarkEnd w:id="83"/>
    </w:p>
    <w:p w14:paraId="727ACF12">
      <w:pPr>
        <w:pStyle w:val="105"/>
        <w:spacing w:before="156" w:after="156"/>
        <w:ind w:left="0"/>
        <w:rPr>
          <w:rFonts w:ascii="宋体" w:eastAsia="宋体"/>
        </w:rPr>
      </w:pPr>
      <w:bookmarkStart w:id="84" w:name="_Toc182836633"/>
      <w:r>
        <w:rPr>
          <w:rFonts w:hint="eastAsia" w:ascii="宋体" w:eastAsia="宋体"/>
        </w:rPr>
        <w:t>安全评价机构主要负责人每年应至少亲自抽查3份评价档案，重点检查档案的真实性和完整性。</w:t>
      </w:r>
      <w:bookmarkEnd w:id="84"/>
    </w:p>
    <w:p w14:paraId="24783493">
      <w:pPr>
        <w:pStyle w:val="104"/>
        <w:spacing w:before="312" w:after="312"/>
      </w:pPr>
      <w:bookmarkStart w:id="85" w:name="_Toc182836634"/>
      <w:bookmarkStart w:id="86" w:name="_Toc182836664"/>
      <w:r>
        <w:rPr>
          <w:rFonts w:hint="eastAsia"/>
        </w:rPr>
        <w:t>安全评价师技术档案管理要求</w:t>
      </w:r>
      <w:bookmarkEnd w:id="85"/>
      <w:bookmarkEnd w:id="86"/>
    </w:p>
    <w:p w14:paraId="13E3EEE5">
      <w:pPr>
        <w:pStyle w:val="105"/>
        <w:spacing w:before="156" w:after="156"/>
        <w:ind w:left="0"/>
        <w:rPr>
          <w:rFonts w:ascii="宋体" w:eastAsia="宋体"/>
        </w:rPr>
      </w:pPr>
      <w:bookmarkStart w:id="87" w:name="_Toc182836635"/>
      <w:r>
        <w:rPr>
          <w:rFonts w:hint="eastAsia" w:ascii="宋体" w:eastAsia="宋体"/>
        </w:rPr>
        <w:t>安全评价机构应按照“一人一档”的原则建立安全评价师技术档案。</w:t>
      </w:r>
      <w:bookmarkEnd w:id="87"/>
    </w:p>
    <w:p w14:paraId="4EC26F17">
      <w:pPr>
        <w:pStyle w:val="105"/>
        <w:spacing w:before="156" w:after="156"/>
        <w:ind w:left="0"/>
        <w:rPr>
          <w:rFonts w:ascii="宋体" w:eastAsia="宋体"/>
        </w:rPr>
      </w:pPr>
      <w:bookmarkStart w:id="88" w:name="_Toc182836636"/>
      <w:r>
        <w:rPr>
          <w:rFonts w:hint="eastAsia" w:ascii="宋体" w:eastAsia="宋体"/>
        </w:rPr>
        <w:t>安全评价师技术档案可采用电子版或纸质版归档文件。</w:t>
      </w:r>
      <w:bookmarkEnd w:id="88"/>
    </w:p>
    <w:p w14:paraId="7F9F3F05">
      <w:pPr>
        <w:pStyle w:val="105"/>
        <w:spacing w:before="156" w:after="156"/>
        <w:ind w:left="0"/>
        <w:rPr>
          <w:rFonts w:ascii="宋体" w:eastAsia="宋体"/>
        </w:rPr>
      </w:pPr>
      <w:bookmarkStart w:id="89" w:name="_Toc182836637"/>
      <w:r>
        <w:rPr>
          <w:rFonts w:hint="eastAsia" w:ascii="宋体" w:eastAsia="宋体"/>
        </w:rPr>
        <w:t>安全评价机构应指定专人负责安全评价师技术档案资料的收集、整理，每年3月份之前完成更新。</w:t>
      </w:r>
      <w:bookmarkEnd w:id="89"/>
    </w:p>
    <w:p w14:paraId="139761FF">
      <w:pPr>
        <w:pStyle w:val="105"/>
        <w:spacing w:before="156" w:after="156"/>
        <w:ind w:left="0"/>
        <w:rPr>
          <w:rFonts w:ascii="宋体" w:eastAsia="宋体"/>
        </w:rPr>
      </w:pPr>
      <w:bookmarkStart w:id="90" w:name="_Toc182836638"/>
      <w:r>
        <w:rPr>
          <w:rFonts w:hint="eastAsia" w:ascii="宋体" w:eastAsia="宋体"/>
        </w:rPr>
        <w:t>安全评价师技术档案应至少包括以下内容：</w:t>
      </w:r>
      <w:bookmarkEnd w:id="90"/>
    </w:p>
    <w:p w14:paraId="4C9F5074">
      <w:pPr>
        <w:pStyle w:val="109"/>
        <w:numPr>
          <w:ilvl w:val="1"/>
          <w:numId w:val="33"/>
        </w:numPr>
        <w:ind w:left="1264" w:leftChars="400" w:hanging="424" w:hangingChars="202"/>
      </w:pPr>
      <w:r>
        <w:rPr>
          <w:rFonts w:hint="eastAsia"/>
        </w:rPr>
        <w:t>安全评价师简历表；</w:t>
      </w:r>
    </w:p>
    <w:p w14:paraId="60CCF0AA">
      <w:pPr>
        <w:pStyle w:val="109"/>
        <w:numPr>
          <w:ilvl w:val="1"/>
          <w:numId w:val="33"/>
        </w:numPr>
        <w:ind w:left="1264" w:leftChars="400" w:hanging="424" w:hangingChars="202"/>
      </w:pPr>
      <w:r>
        <w:rPr>
          <w:rFonts w:hint="eastAsia"/>
        </w:rPr>
        <w:t>安全评价师资格证书（或影印件）；</w:t>
      </w:r>
    </w:p>
    <w:p w14:paraId="3C430318">
      <w:pPr>
        <w:pStyle w:val="109"/>
        <w:numPr>
          <w:ilvl w:val="1"/>
          <w:numId w:val="33"/>
        </w:numPr>
        <w:ind w:left="1264" w:leftChars="400" w:hanging="424" w:hangingChars="202"/>
      </w:pPr>
      <w:r>
        <w:rPr>
          <w:rFonts w:hint="eastAsia"/>
        </w:rPr>
        <w:t>安全评价师学历证明（或影印件）；</w:t>
      </w:r>
    </w:p>
    <w:p w14:paraId="4A813A12">
      <w:pPr>
        <w:pStyle w:val="109"/>
        <w:numPr>
          <w:ilvl w:val="1"/>
          <w:numId w:val="33"/>
        </w:numPr>
        <w:ind w:left="1264" w:leftChars="400" w:hanging="424" w:hangingChars="202"/>
      </w:pPr>
      <w:r>
        <w:rPr>
          <w:rFonts w:hint="eastAsia"/>
        </w:rPr>
        <w:t>安全评价师职称证书（或影印件）；</w:t>
      </w:r>
    </w:p>
    <w:p w14:paraId="007E65FA">
      <w:pPr>
        <w:pStyle w:val="109"/>
        <w:numPr>
          <w:ilvl w:val="1"/>
          <w:numId w:val="33"/>
        </w:numPr>
        <w:ind w:left="1264" w:leftChars="400" w:hanging="424" w:hangingChars="202"/>
      </w:pPr>
      <w:r>
        <w:rPr>
          <w:rFonts w:hint="eastAsia"/>
        </w:rPr>
        <w:t>认定专业能力的其他证明材料（或影印件）；</w:t>
      </w:r>
    </w:p>
    <w:p w14:paraId="6EDAFFAE">
      <w:pPr>
        <w:pStyle w:val="109"/>
        <w:numPr>
          <w:ilvl w:val="1"/>
          <w:numId w:val="33"/>
        </w:numPr>
        <w:ind w:left="1264" w:leftChars="400" w:hanging="424" w:hangingChars="202"/>
      </w:pPr>
      <w:r>
        <w:rPr>
          <w:rFonts w:hint="eastAsia"/>
        </w:rPr>
        <w:t>注册安全工程师资格证书（或影印件）；</w:t>
      </w:r>
    </w:p>
    <w:p w14:paraId="68582F55">
      <w:pPr>
        <w:pStyle w:val="109"/>
        <w:numPr>
          <w:ilvl w:val="1"/>
          <w:numId w:val="33"/>
        </w:numPr>
        <w:ind w:left="1264" w:leftChars="400" w:hanging="424" w:hangingChars="202"/>
      </w:pPr>
      <w:r>
        <w:rPr>
          <w:rFonts w:hint="eastAsia"/>
        </w:rPr>
        <w:t>劳动合同（或影印件）；</w:t>
      </w:r>
    </w:p>
    <w:p w14:paraId="7DF520BD">
      <w:pPr>
        <w:pStyle w:val="109"/>
        <w:numPr>
          <w:ilvl w:val="1"/>
          <w:numId w:val="33"/>
        </w:numPr>
        <w:ind w:left="1264" w:leftChars="400" w:hanging="424" w:hangingChars="202"/>
      </w:pPr>
      <w:r>
        <w:rPr>
          <w:rFonts w:hint="eastAsia"/>
        </w:rPr>
        <w:t>每年度安全评价业绩登记表；</w:t>
      </w:r>
    </w:p>
    <w:p w14:paraId="6DCE0776">
      <w:pPr>
        <w:pStyle w:val="109"/>
        <w:numPr>
          <w:ilvl w:val="1"/>
          <w:numId w:val="33"/>
        </w:numPr>
        <w:ind w:left="1264" w:leftChars="400" w:hanging="424" w:hangingChars="202"/>
      </w:pPr>
      <w:r>
        <w:rPr>
          <w:rFonts w:hint="eastAsia"/>
        </w:rPr>
        <w:t>每年度继续教育结业证书；</w:t>
      </w:r>
    </w:p>
    <w:p w14:paraId="68ED88CB">
      <w:pPr>
        <w:pStyle w:val="109"/>
        <w:numPr>
          <w:ilvl w:val="1"/>
          <w:numId w:val="33"/>
        </w:numPr>
        <w:ind w:left="1264" w:leftChars="400" w:hanging="424" w:hangingChars="202"/>
      </w:pPr>
      <w:r>
        <w:rPr>
          <w:rFonts w:hint="eastAsia"/>
        </w:rPr>
        <w:t>参加外部培训学习情况或证明；</w:t>
      </w:r>
    </w:p>
    <w:p w14:paraId="546378C8">
      <w:pPr>
        <w:pStyle w:val="109"/>
        <w:numPr>
          <w:ilvl w:val="1"/>
          <w:numId w:val="33"/>
        </w:numPr>
        <w:ind w:left="1264" w:leftChars="400" w:hanging="424" w:hangingChars="202"/>
      </w:pPr>
      <w:r>
        <w:rPr>
          <w:rFonts w:hint="eastAsia"/>
        </w:rPr>
        <w:t>其他相关证明资料。</w:t>
      </w:r>
    </w:p>
    <w:p w14:paraId="309FB3D2">
      <w:pPr>
        <w:pStyle w:val="104"/>
        <w:spacing w:before="312" w:after="312"/>
      </w:pPr>
      <w:bookmarkStart w:id="91" w:name="_Toc182836639"/>
      <w:bookmarkStart w:id="92" w:name="_Toc182836665"/>
      <w:r>
        <w:rPr>
          <w:rFonts w:hint="eastAsia"/>
        </w:rPr>
        <w:t>仪器设备档案管理要求</w:t>
      </w:r>
      <w:bookmarkEnd w:id="91"/>
      <w:bookmarkEnd w:id="92"/>
    </w:p>
    <w:p w14:paraId="4026AE3E">
      <w:pPr>
        <w:pStyle w:val="105"/>
        <w:spacing w:before="156" w:after="156"/>
        <w:ind w:left="0"/>
        <w:rPr>
          <w:rFonts w:ascii="宋体" w:eastAsia="宋体"/>
        </w:rPr>
      </w:pPr>
      <w:bookmarkStart w:id="93" w:name="_Toc182836640"/>
      <w:r>
        <w:rPr>
          <w:rFonts w:hint="eastAsia" w:ascii="宋体" w:eastAsia="宋体"/>
        </w:rPr>
        <w:t>安全评价机构应按照“一设备一档案”的立档原则建立仪器设备档案。</w:t>
      </w:r>
      <w:bookmarkEnd w:id="93"/>
    </w:p>
    <w:p w14:paraId="29961908">
      <w:pPr>
        <w:pStyle w:val="105"/>
        <w:spacing w:before="156" w:after="156"/>
        <w:ind w:left="0"/>
        <w:rPr>
          <w:rFonts w:ascii="宋体" w:eastAsia="宋体"/>
        </w:rPr>
      </w:pPr>
      <w:bookmarkStart w:id="94" w:name="_Toc182836641"/>
      <w:r>
        <w:rPr>
          <w:rFonts w:hint="eastAsia" w:ascii="宋体" w:eastAsia="宋体"/>
        </w:rPr>
        <w:t>仪器设备档案可采用电子版或纸质版归档文件。</w:t>
      </w:r>
      <w:bookmarkEnd w:id="94"/>
    </w:p>
    <w:p w14:paraId="3568372D">
      <w:pPr>
        <w:pStyle w:val="105"/>
        <w:spacing w:before="156" w:after="156"/>
        <w:ind w:left="0"/>
        <w:rPr>
          <w:rFonts w:ascii="宋体" w:eastAsia="宋体"/>
        </w:rPr>
      </w:pPr>
      <w:bookmarkStart w:id="95" w:name="_Toc182836642"/>
      <w:r>
        <w:rPr>
          <w:rFonts w:hint="eastAsia" w:ascii="宋体" w:eastAsia="宋体"/>
        </w:rPr>
        <w:t>安全评价机构应指定专人负责仪器设备档案资料的收集、整理，每年3月份之前完成更新。</w:t>
      </w:r>
      <w:bookmarkEnd w:id="95"/>
    </w:p>
    <w:p w14:paraId="20F46903">
      <w:pPr>
        <w:pStyle w:val="105"/>
        <w:spacing w:before="156" w:after="156"/>
        <w:ind w:left="0"/>
        <w:rPr>
          <w:rFonts w:ascii="宋体" w:eastAsia="宋体"/>
        </w:rPr>
      </w:pPr>
      <w:bookmarkStart w:id="96" w:name="_Toc182836643"/>
      <w:r>
        <w:rPr>
          <w:rFonts w:hint="eastAsia" w:ascii="宋体" w:eastAsia="宋体"/>
        </w:rPr>
        <w:t>仪器设备管理档案内应至少包括以下内容：</w:t>
      </w:r>
      <w:bookmarkEnd w:id="96"/>
    </w:p>
    <w:p w14:paraId="165C151F">
      <w:pPr>
        <w:pStyle w:val="109"/>
        <w:numPr>
          <w:ilvl w:val="1"/>
          <w:numId w:val="34"/>
        </w:numPr>
        <w:ind w:left="1264" w:leftChars="400" w:hanging="424" w:hangingChars="202"/>
      </w:pPr>
      <w:r>
        <w:rPr>
          <w:rFonts w:hint="eastAsia"/>
        </w:rPr>
        <w:t>仪器设备购置凭证（或影印件）；</w:t>
      </w:r>
    </w:p>
    <w:p w14:paraId="608592B6">
      <w:pPr>
        <w:pStyle w:val="109"/>
        <w:numPr>
          <w:ilvl w:val="1"/>
          <w:numId w:val="34"/>
        </w:numPr>
        <w:ind w:left="1264" w:leftChars="400" w:hanging="424" w:hangingChars="202"/>
      </w:pPr>
      <w:r>
        <w:rPr>
          <w:rFonts w:hint="eastAsia"/>
        </w:rPr>
        <w:t>仪器设备操作规程（使用说明书、指南）；</w:t>
      </w:r>
    </w:p>
    <w:p w14:paraId="0B5056CC">
      <w:pPr>
        <w:pStyle w:val="109"/>
        <w:numPr>
          <w:ilvl w:val="1"/>
          <w:numId w:val="34"/>
        </w:numPr>
        <w:ind w:left="1264" w:leftChars="400" w:hanging="424" w:hangingChars="202"/>
      </w:pPr>
      <w:r>
        <w:rPr>
          <w:rFonts w:hint="eastAsia"/>
        </w:rPr>
        <w:t>仪器设备定期维护保养和校验记录；</w:t>
      </w:r>
    </w:p>
    <w:p w14:paraId="79DD50A9">
      <w:pPr>
        <w:pStyle w:val="109"/>
        <w:numPr>
          <w:ilvl w:val="1"/>
          <w:numId w:val="34"/>
        </w:numPr>
        <w:ind w:left="1264" w:leftChars="400" w:hanging="424" w:hangingChars="202"/>
      </w:pPr>
      <w:r>
        <w:rPr>
          <w:rFonts w:hint="eastAsia"/>
        </w:rPr>
        <w:t>检定及校准证书；</w:t>
      </w:r>
    </w:p>
    <w:p w14:paraId="452DC7D2">
      <w:pPr>
        <w:pStyle w:val="109"/>
        <w:numPr>
          <w:ilvl w:val="1"/>
          <w:numId w:val="34"/>
        </w:numPr>
        <w:ind w:left="1264" w:leftChars="400" w:hanging="424" w:hangingChars="202"/>
      </w:pPr>
      <w:r>
        <w:rPr>
          <w:rFonts w:hint="eastAsia"/>
        </w:rPr>
        <w:t>其他有关资料。</w:t>
      </w:r>
    </w:p>
    <w:p w14:paraId="3CD95F3F">
      <w:pPr>
        <w:pStyle w:val="104"/>
        <w:spacing w:before="312" w:after="312"/>
      </w:pPr>
      <w:bookmarkStart w:id="97" w:name="_Toc182836644"/>
      <w:bookmarkStart w:id="98" w:name="_Toc182836666"/>
      <w:r>
        <w:rPr>
          <w:rFonts w:hint="eastAsia"/>
        </w:rPr>
        <w:t>档案保管要求</w:t>
      </w:r>
      <w:bookmarkEnd w:id="97"/>
      <w:bookmarkEnd w:id="98"/>
      <w:bookmarkStart w:id="113" w:name="_GoBack"/>
      <w:bookmarkEnd w:id="113"/>
    </w:p>
    <w:p w14:paraId="5028E713">
      <w:pPr>
        <w:pStyle w:val="105"/>
        <w:spacing w:before="156" w:after="156"/>
        <w:ind w:left="0"/>
      </w:pPr>
      <w:bookmarkStart w:id="99" w:name="_Toc182836645"/>
      <w:r>
        <w:rPr>
          <w:rFonts w:hint="eastAsia"/>
        </w:rPr>
        <w:t>纸质档案</w:t>
      </w:r>
      <w:bookmarkEnd w:id="99"/>
    </w:p>
    <w:p w14:paraId="659A9856">
      <w:pPr>
        <w:pStyle w:val="165"/>
      </w:pPr>
    </w:p>
    <w:p w14:paraId="128B1CBE">
      <w:pPr>
        <w:pStyle w:val="65"/>
        <w:spacing w:before="156" w:after="156"/>
        <w:rPr>
          <w:rFonts w:ascii="宋体" w:eastAsia="宋体"/>
        </w:rPr>
      </w:pPr>
      <w:r>
        <w:rPr>
          <w:rFonts w:hint="eastAsia" w:ascii="宋体" w:eastAsia="宋体"/>
        </w:rPr>
        <w:t>档案应定期清理核对，档案数量发生变化时应有记录说明。</w:t>
      </w:r>
    </w:p>
    <w:p w14:paraId="3C340FB4">
      <w:pPr>
        <w:pStyle w:val="165"/>
      </w:pPr>
      <w:r>
        <w:rPr>
          <w:rFonts w:hint="eastAsia"/>
        </w:rPr>
        <w:t>档案应定期检查，对破损的档案应进行修裱、复制和其它技术处理。</w:t>
      </w:r>
    </w:p>
    <w:p w14:paraId="6927F708">
      <w:pPr>
        <w:pStyle w:val="65"/>
        <w:spacing w:before="156" w:after="156"/>
        <w:rPr>
          <w:rFonts w:ascii="宋体" w:eastAsia="宋体"/>
        </w:rPr>
      </w:pPr>
      <w:r>
        <w:rPr>
          <w:rFonts w:hint="eastAsia" w:ascii="宋体" w:eastAsia="宋体"/>
        </w:rPr>
        <w:t>安全评价机构应建立档案鉴定和销毁制度，档案达到保存期限后经鉴定可以销毁的，按程序进行销毁。销毁档案前，销毁人员应认真清点核对，在销毁清册上签章。</w:t>
      </w:r>
    </w:p>
    <w:p w14:paraId="475BDC9A">
      <w:pPr>
        <w:pStyle w:val="65"/>
        <w:spacing w:before="156" w:after="156"/>
      </w:pPr>
      <w:r>
        <w:rPr>
          <w:rFonts w:hint="eastAsia" w:ascii="宋体" w:eastAsia="宋体"/>
        </w:rPr>
        <w:t>安全评价机构应建立健全档案管理制度，借阅、更改、复印、交接、保存、销毁档案应办理相关手续，并做好登记。</w:t>
      </w:r>
    </w:p>
    <w:p w14:paraId="772FB4D6">
      <w:pPr>
        <w:pStyle w:val="105"/>
        <w:spacing w:before="156" w:after="156"/>
        <w:ind w:left="0"/>
      </w:pPr>
      <w:bookmarkStart w:id="100" w:name="_Toc182836646"/>
      <w:r>
        <w:rPr>
          <w:rFonts w:hint="eastAsia"/>
        </w:rPr>
        <w:t>电子档案</w:t>
      </w:r>
      <w:bookmarkEnd w:id="100"/>
    </w:p>
    <w:p w14:paraId="5B9866C4">
      <w:pPr>
        <w:pStyle w:val="65"/>
        <w:spacing w:before="156" w:after="156"/>
        <w:rPr>
          <w:rFonts w:ascii="宋体" w:eastAsia="宋体"/>
        </w:rPr>
      </w:pPr>
      <w:r>
        <w:rPr>
          <w:rFonts w:hint="eastAsia" w:ascii="宋体" w:eastAsia="宋体"/>
        </w:rPr>
        <w:t>电子档案的保管应符合纸质档案的要求。</w:t>
      </w:r>
    </w:p>
    <w:p w14:paraId="3740EAFA">
      <w:pPr>
        <w:pStyle w:val="65"/>
        <w:spacing w:before="156" w:after="156"/>
        <w:rPr>
          <w:rFonts w:ascii="宋体" w:eastAsia="宋体"/>
        </w:rPr>
      </w:pPr>
      <w:r>
        <w:rPr>
          <w:rFonts w:hint="eastAsia" w:ascii="宋体" w:eastAsia="宋体"/>
        </w:rPr>
        <w:t>归档载体应做防写处理，避免擦、划、触摸记录涂层。</w:t>
      </w:r>
    </w:p>
    <w:p w14:paraId="453C4788">
      <w:pPr>
        <w:pStyle w:val="65"/>
        <w:spacing w:before="156" w:after="156"/>
        <w:rPr>
          <w:rFonts w:ascii="宋体" w:eastAsia="宋体"/>
        </w:rPr>
      </w:pPr>
      <w:r>
        <w:rPr>
          <w:rFonts w:hint="eastAsia" w:ascii="宋体" w:eastAsia="宋体"/>
        </w:rPr>
        <w:t>单片载体应装盒，且避免挤压。</w:t>
      </w:r>
    </w:p>
    <w:p w14:paraId="26BBF785">
      <w:pPr>
        <w:pStyle w:val="65"/>
        <w:spacing w:before="156" w:after="156"/>
        <w:rPr>
          <w:rFonts w:ascii="宋体" w:eastAsia="宋体"/>
        </w:rPr>
      </w:pPr>
      <w:r>
        <w:rPr>
          <w:rFonts w:hint="eastAsia" w:ascii="宋体" w:eastAsia="宋体"/>
        </w:rPr>
        <w:t>存放室应远离强磁场、强热源，并与有害气体隔离。</w:t>
      </w:r>
    </w:p>
    <w:p w14:paraId="0E42502B">
      <w:pPr>
        <w:pStyle w:val="65"/>
        <w:spacing w:before="156" w:after="156"/>
        <w:rPr>
          <w:rFonts w:ascii="宋体" w:eastAsia="宋体"/>
        </w:rPr>
      </w:pPr>
      <w:r>
        <w:rPr>
          <w:rFonts w:hint="eastAsia" w:ascii="宋体" w:eastAsia="宋体"/>
        </w:rPr>
        <w:t>超过保管期限的电子档案的鉴定和销毁，参照9.1.3，其删除和销毁应符合GB/T 18894的要求。</w:t>
      </w:r>
    </w:p>
    <w:p w14:paraId="1B757EF2">
      <w:pPr>
        <w:pStyle w:val="105"/>
        <w:spacing w:before="156" w:after="156"/>
        <w:ind w:left="0"/>
      </w:pPr>
      <w:bookmarkStart w:id="101" w:name="_Toc182836647"/>
      <w:r>
        <w:rPr>
          <w:rFonts w:hint="eastAsia"/>
        </w:rPr>
        <w:t>档案保密管理</w:t>
      </w:r>
      <w:bookmarkEnd w:id="101"/>
    </w:p>
    <w:p w14:paraId="27D0785B">
      <w:pPr>
        <w:pStyle w:val="65"/>
        <w:spacing w:before="156" w:after="156"/>
        <w:rPr>
          <w:rFonts w:ascii="宋体" w:eastAsia="宋体"/>
        </w:rPr>
      </w:pPr>
      <w:r>
        <w:rPr>
          <w:rFonts w:hint="eastAsia" w:ascii="宋体" w:eastAsia="宋体"/>
        </w:rPr>
        <w:t>安全评价机构应制定实施档案保密管理制度，设置合理的保密密级。</w:t>
      </w:r>
    </w:p>
    <w:p w14:paraId="2C249DA2">
      <w:pPr>
        <w:pStyle w:val="65"/>
        <w:spacing w:before="156" w:after="156"/>
        <w:rPr>
          <w:rFonts w:ascii="宋体" w:eastAsia="宋体"/>
        </w:rPr>
      </w:pPr>
      <w:r>
        <w:rPr>
          <w:rFonts w:hint="eastAsia" w:ascii="宋体" w:eastAsia="宋体"/>
        </w:rPr>
        <w:t>涉及国家保密方面的安全评价档案应按照有关保守国家秘密的法律法规的规定和要求执行。</w:t>
      </w:r>
    </w:p>
    <w:p w14:paraId="4DEBDB66">
      <w:pPr>
        <w:pStyle w:val="105"/>
        <w:spacing w:before="156" w:after="156"/>
        <w:ind w:left="0"/>
      </w:pPr>
      <w:bookmarkStart w:id="102" w:name="_Toc182836648"/>
      <w:r>
        <w:rPr>
          <w:rFonts w:hint="eastAsia"/>
        </w:rPr>
        <w:t>定期检查</w:t>
      </w:r>
      <w:bookmarkEnd w:id="102"/>
    </w:p>
    <w:p w14:paraId="7D6FD420">
      <w:pPr>
        <w:pStyle w:val="65"/>
        <w:spacing w:before="156" w:after="156"/>
        <w:rPr>
          <w:rFonts w:ascii="宋体" w:eastAsia="宋体"/>
        </w:rPr>
      </w:pPr>
      <w:r>
        <w:rPr>
          <w:rFonts w:hint="eastAsia" w:ascii="宋体" w:eastAsia="宋体"/>
        </w:rPr>
        <w:t>安全评价机构应定期进行档案管理检查。检查内容包括档案室的消防安全、环境设施安全、各项档案管理制度的执行情况等。</w:t>
      </w:r>
    </w:p>
    <w:p w14:paraId="755804B8">
      <w:pPr>
        <w:pStyle w:val="65"/>
        <w:spacing w:before="156" w:after="156"/>
        <w:rPr>
          <w:rFonts w:ascii="宋体" w:eastAsia="宋体"/>
        </w:rPr>
      </w:pPr>
      <w:r>
        <w:rPr>
          <w:rFonts w:hint="eastAsia" w:ascii="宋体" w:eastAsia="宋体"/>
        </w:rPr>
        <w:t>安全评价机构应将档案管理纳入本单位内审计划，对本单位安全评价档案管理流程及有关执行情况实施审核，并至少每年开展一次对项目及时归档情况的专项检查。</w:t>
      </w:r>
    </w:p>
    <w:p w14:paraId="467959B3">
      <w:pPr>
        <w:pStyle w:val="65"/>
        <w:spacing w:before="156" w:after="156"/>
        <w:rPr>
          <w:rFonts w:ascii="宋体" w:eastAsia="宋体"/>
        </w:rPr>
      </w:pPr>
      <w:r>
        <w:rPr>
          <w:rFonts w:hint="eastAsia" w:ascii="宋体" w:eastAsia="宋体"/>
        </w:rPr>
        <w:t>开展定期检查时，应包括对机构电子存档资料的管理状况检查。</w:t>
      </w:r>
    </w:p>
    <w:p w14:paraId="49169860">
      <w:pPr>
        <w:pStyle w:val="105"/>
        <w:spacing w:before="156" w:after="156"/>
        <w:ind w:left="0"/>
      </w:pPr>
      <w:bookmarkStart w:id="103" w:name="_Toc182836649"/>
      <w:r>
        <w:rPr>
          <w:rFonts w:hint="eastAsia"/>
        </w:rPr>
        <w:t>档案索引</w:t>
      </w:r>
      <w:bookmarkEnd w:id="103"/>
    </w:p>
    <w:p w14:paraId="7D03C75F">
      <w:pPr>
        <w:pStyle w:val="65"/>
        <w:spacing w:before="156" w:after="156"/>
        <w:rPr>
          <w:rFonts w:ascii="宋体" w:eastAsia="宋体"/>
        </w:rPr>
      </w:pPr>
      <w:r>
        <w:rPr>
          <w:rFonts w:hint="eastAsia" w:ascii="宋体" w:eastAsia="宋体"/>
        </w:rPr>
        <w:t>为方便档案的使用和检索，提高档案资料的使用和管理效率，安全评价机构应编制档案资料索引目录。</w:t>
      </w:r>
    </w:p>
    <w:p w14:paraId="12058506">
      <w:pPr>
        <w:pStyle w:val="65"/>
        <w:spacing w:before="156" w:after="156"/>
        <w:rPr>
          <w:rFonts w:ascii="宋体" w:eastAsia="宋体"/>
        </w:rPr>
      </w:pPr>
      <w:r>
        <w:rPr>
          <w:rFonts w:hint="eastAsia" w:ascii="宋体" w:eastAsia="宋体"/>
        </w:rPr>
        <w:t>编制的档案索引目录应结构合理、信息准确、方便使用。</w:t>
      </w:r>
    </w:p>
    <w:p w14:paraId="6B8126EF">
      <w:pPr>
        <w:pStyle w:val="105"/>
        <w:spacing w:before="156" w:after="156"/>
        <w:ind w:left="0"/>
      </w:pPr>
      <w:bookmarkStart w:id="104" w:name="_Toc182836650"/>
      <w:r>
        <w:rPr>
          <w:rFonts w:hint="eastAsia"/>
        </w:rPr>
        <w:t>其他</w:t>
      </w:r>
      <w:bookmarkEnd w:id="104"/>
    </w:p>
    <w:p w14:paraId="74199A81">
      <w:pPr>
        <w:pStyle w:val="174"/>
        <w:numPr>
          <w:ilvl w:val="0"/>
          <w:numId w:val="0"/>
        </w:numPr>
        <w:ind w:left="851" w:hanging="426"/>
      </w:pPr>
      <w:r>
        <w:rPr>
          <w:rFonts w:hint="eastAsia"/>
        </w:rPr>
        <w:t>安全评价机构应不断完善档案管理制度，持续改进档案管理水平，确保档案管理规范、合理、科学。</w:t>
      </w:r>
    </w:p>
    <w:p w14:paraId="2C1A27EC">
      <w:pPr>
        <w:pStyle w:val="104"/>
        <w:spacing w:before="312" w:after="312"/>
      </w:pPr>
      <w:bookmarkStart w:id="105" w:name="_Toc182836651"/>
      <w:bookmarkStart w:id="106" w:name="_Toc182836667"/>
      <w:r>
        <w:rPr>
          <w:rFonts w:hint="eastAsia"/>
        </w:rPr>
        <w:t>档案保存期限</w:t>
      </w:r>
      <w:bookmarkEnd w:id="105"/>
      <w:bookmarkEnd w:id="106"/>
    </w:p>
    <w:p w14:paraId="0513A06B">
      <w:pPr>
        <w:pStyle w:val="105"/>
        <w:spacing w:before="156" w:after="156"/>
        <w:ind w:left="0"/>
        <w:rPr>
          <w:rFonts w:ascii="宋体" w:eastAsia="宋体"/>
        </w:rPr>
      </w:pPr>
      <w:bookmarkStart w:id="107" w:name="_Toc182836652"/>
      <w:r>
        <w:rPr>
          <w:rFonts w:hint="eastAsia" w:ascii="宋体" w:eastAsia="宋体"/>
        </w:rPr>
        <w:t>安全评价机构应根据档案管理相关法规及行业的特点，明确档案保存期限。档案资料的管理分永久、定期两种，定期一般分为20年、10年。</w:t>
      </w:r>
      <w:bookmarkEnd w:id="107"/>
    </w:p>
    <w:p w14:paraId="52D68C48">
      <w:pPr>
        <w:pStyle w:val="105"/>
        <w:spacing w:before="156" w:after="156"/>
        <w:ind w:left="0"/>
        <w:rPr>
          <w:rFonts w:ascii="宋体" w:eastAsia="宋体"/>
        </w:rPr>
      </w:pPr>
      <w:bookmarkStart w:id="108" w:name="_Toc182836653"/>
      <w:r>
        <w:rPr>
          <w:rFonts w:hint="eastAsia" w:ascii="宋体" w:eastAsia="宋体"/>
        </w:rPr>
        <w:t>安全评价报告为永久性档案。安全评价档案保管期限见附录B表B.1。</w:t>
      </w:r>
      <w:bookmarkEnd w:id="108"/>
    </w:p>
    <w:p w14:paraId="3A83D30F">
      <w:pPr>
        <w:pStyle w:val="105"/>
        <w:spacing w:before="156" w:after="156"/>
        <w:ind w:left="0"/>
        <w:rPr>
          <w:rFonts w:ascii="宋体" w:eastAsia="宋体"/>
        </w:rPr>
        <w:sectPr>
          <w:pgSz w:w="11906" w:h="16838"/>
          <w:pgMar w:top="1928" w:right="1134" w:bottom="1134" w:left="1134" w:header="1418" w:footer="1134" w:gutter="284"/>
          <w:pgNumType w:start="1"/>
          <w:cols w:space="425" w:num="1"/>
          <w:formProt w:val="0"/>
          <w:docGrid w:type="lines" w:linePitch="312" w:charSpace="0"/>
        </w:sectPr>
      </w:pPr>
      <w:bookmarkStart w:id="109" w:name="_Toc182836654"/>
      <w:r>
        <w:rPr>
          <w:rFonts w:hint="eastAsia" w:ascii="宋体" w:eastAsia="宋体"/>
        </w:rPr>
        <w:t>电子文档存档期限可参照纸质文档保存期限设定。</w:t>
      </w:r>
      <w:bookmarkEnd w:id="109"/>
    </w:p>
    <w:bookmarkEnd w:id="25"/>
    <w:p w14:paraId="241B88BD">
      <w:pPr>
        <w:pStyle w:val="198"/>
        <w:rPr>
          <w:vanish w:val="0"/>
        </w:rPr>
      </w:pPr>
      <w:bookmarkStart w:id="110" w:name="BookMark5"/>
    </w:p>
    <w:p w14:paraId="7D749E55">
      <w:pPr>
        <w:pStyle w:val="199"/>
        <w:rPr>
          <w:vanish w:val="0"/>
        </w:rPr>
      </w:pPr>
    </w:p>
    <w:p w14:paraId="1B47C5F2">
      <w:pPr>
        <w:pStyle w:val="76"/>
        <w:spacing w:after="156"/>
      </w:pPr>
      <w:r>
        <w:br w:type="textWrapping"/>
      </w:r>
      <w:bookmarkStart w:id="111" w:name="_Toc182836655"/>
      <w:bookmarkStart w:id="112" w:name="_Toc182836668"/>
      <w:r>
        <w:rPr>
          <w:rFonts w:hint="eastAsia"/>
        </w:rPr>
        <w:t>（资料性）</w:t>
      </w:r>
      <w:r>
        <w:br w:type="textWrapping"/>
      </w:r>
      <w:r>
        <w:rPr>
          <w:rFonts w:hint="eastAsia"/>
        </w:rPr>
        <w:t>表A.1  安全评价项目档案归档目录（式样）</w:t>
      </w:r>
      <w:bookmarkEnd w:id="111"/>
      <w:bookmarkEnd w:id="112"/>
    </w:p>
    <w:p w14:paraId="2835C47F">
      <w:pPr>
        <w:pStyle w:val="56"/>
        <w:ind w:firstLine="0" w:firstLineChars="0"/>
        <w:rPr>
          <w:sz w:val="18"/>
          <w:szCs w:val="18"/>
        </w:rPr>
      </w:pPr>
      <w:r>
        <w:rPr>
          <w:rFonts w:hint="eastAsia"/>
          <w:sz w:val="18"/>
          <w:szCs w:val="18"/>
        </w:rPr>
        <w:t>报告名称：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74"/>
        <w:gridCol w:w="1875"/>
        <w:gridCol w:w="1875"/>
        <w:gridCol w:w="1875"/>
        <w:gridCol w:w="1875"/>
      </w:tblGrid>
      <w:tr w14:paraId="71ED0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74" w:type="dxa"/>
            <w:tcBorders>
              <w:top w:val="single" w:color="auto" w:sz="8" w:space="0"/>
              <w:bottom w:val="single" w:color="auto" w:sz="8" w:space="0"/>
            </w:tcBorders>
            <w:shd w:val="clear" w:color="auto" w:fill="auto"/>
            <w:vAlign w:val="center"/>
          </w:tcPr>
          <w:p w14:paraId="2EF4103F">
            <w:pPr>
              <w:jc w:val="center"/>
              <w:rPr>
                <w:sz w:val="18"/>
                <w:szCs w:val="18"/>
              </w:rPr>
            </w:pPr>
            <w:r>
              <w:rPr>
                <w:rFonts w:hint="eastAsia"/>
                <w:sz w:val="18"/>
                <w:szCs w:val="18"/>
              </w:rPr>
              <w:t>序号</w:t>
            </w:r>
          </w:p>
        </w:tc>
        <w:tc>
          <w:tcPr>
            <w:tcW w:w="1875" w:type="dxa"/>
            <w:tcBorders>
              <w:top w:val="single" w:color="auto" w:sz="8" w:space="0"/>
              <w:bottom w:val="single" w:color="auto" w:sz="8" w:space="0"/>
            </w:tcBorders>
            <w:shd w:val="clear" w:color="auto" w:fill="auto"/>
            <w:vAlign w:val="center"/>
          </w:tcPr>
          <w:p w14:paraId="5FCAF4B5">
            <w:pPr>
              <w:jc w:val="center"/>
              <w:rPr>
                <w:sz w:val="18"/>
                <w:szCs w:val="18"/>
              </w:rPr>
            </w:pPr>
            <w:r>
              <w:rPr>
                <w:rFonts w:hint="eastAsia"/>
                <w:sz w:val="18"/>
                <w:szCs w:val="18"/>
              </w:rPr>
              <w:t>资料名称</w:t>
            </w:r>
          </w:p>
        </w:tc>
        <w:tc>
          <w:tcPr>
            <w:tcW w:w="1875" w:type="dxa"/>
            <w:tcBorders>
              <w:top w:val="single" w:color="auto" w:sz="8" w:space="0"/>
              <w:bottom w:val="single" w:color="auto" w:sz="8" w:space="0"/>
            </w:tcBorders>
            <w:shd w:val="clear" w:color="auto" w:fill="auto"/>
            <w:vAlign w:val="center"/>
          </w:tcPr>
          <w:p w14:paraId="06CEDC7A">
            <w:pPr>
              <w:jc w:val="center"/>
              <w:rPr>
                <w:sz w:val="18"/>
                <w:szCs w:val="18"/>
              </w:rPr>
            </w:pPr>
            <w:r>
              <w:rPr>
                <w:rFonts w:hint="eastAsia"/>
                <w:sz w:val="18"/>
                <w:szCs w:val="18"/>
              </w:rPr>
              <w:t>数量</w:t>
            </w:r>
          </w:p>
        </w:tc>
        <w:tc>
          <w:tcPr>
            <w:tcW w:w="1875" w:type="dxa"/>
            <w:tcBorders>
              <w:top w:val="single" w:color="auto" w:sz="8" w:space="0"/>
              <w:bottom w:val="single" w:color="auto" w:sz="8" w:space="0"/>
            </w:tcBorders>
            <w:shd w:val="clear" w:color="auto" w:fill="auto"/>
            <w:vAlign w:val="center"/>
          </w:tcPr>
          <w:p w14:paraId="301635FC">
            <w:pPr>
              <w:jc w:val="center"/>
              <w:rPr>
                <w:sz w:val="18"/>
                <w:szCs w:val="18"/>
              </w:rPr>
            </w:pPr>
            <w:r>
              <w:rPr>
                <w:rFonts w:hint="eastAsia"/>
                <w:sz w:val="18"/>
                <w:szCs w:val="18"/>
              </w:rPr>
              <w:t>页数</w:t>
            </w:r>
          </w:p>
        </w:tc>
        <w:tc>
          <w:tcPr>
            <w:tcW w:w="1875" w:type="dxa"/>
            <w:tcBorders>
              <w:top w:val="single" w:color="auto" w:sz="8" w:space="0"/>
              <w:bottom w:val="single" w:color="auto" w:sz="8" w:space="0"/>
            </w:tcBorders>
            <w:shd w:val="clear" w:color="auto" w:fill="auto"/>
            <w:vAlign w:val="center"/>
          </w:tcPr>
          <w:p w14:paraId="6A3D045B">
            <w:pPr>
              <w:jc w:val="center"/>
              <w:rPr>
                <w:sz w:val="18"/>
                <w:szCs w:val="18"/>
              </w:rPr>
            </w:pPr>
            <w:r>
              <w:rPr>
                <w:rFonts w:hint="eastAsia"/>
                <w:sz w:val="18"/>
                <w:szCs w:val="18"/>
              </w:rPr>
              <w:t>备注</w:t>
            </w:r>
          </w:p>
          <w:p w14:paraId="51899861">
            <w:pPr>
              <w:jc w:val="center"/>
              <w:rPr>
                <w:sz w:val="18"/>
                <w:szCs w:val="18"/>
              </w:rPr>
            </w:pPr>
            <w:r>
              <w:rPr>
                <w:rFonts w:hint="eastAsia"/>
                <w:sz w:val="18"/>
                <w:szCs w:val="18"/>
              </w:rPr>
              <w:t>（纸质或光盘）</w:t>
            </w:r>
          </w:p>
        </w:tc>
      </w:tr>
      <w:tr w14:paraId="6E68F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tcBorders>
              <w:top w:val="single" w:color="auto" w:sz="8" w:space="0"/>
            </w:tcBorders>
            <w:shd w:val="clear" w:color="auto" w:fill="auto"/>
            <w:vAlign w:val="center"/>
          </w:tcPr>
          <w:p w14:paraId="11EC3D78">
            <w:pPr>
              <w:pStyle w:val="178"/>
            </w:pPr>
          </w:p>
        </w:tc>
        <w:tc>
          <w:tcPr>
            <w:tcW w:w="1875" w:type="dxa"/>
            <w:tcBorders>
              <w:top w:val="single" w:color="auto" w:sz="8" w:space="0"/>
            </w:tcBorders>
            <w:shd w:val="clear" w:color="auto" w:fill="auto"/>
            <w:vAlign w:val="center"/>
          </w:tcPr>
          <w:p w14:paraId="01537827">
            <w:pPr>
              <w:pStyle w:val="178"/>
            </w:pPr>
          </w:p>
        </w:tc>
        <w:tc>
          <w:tcPr>
            <w:tcW w:w="1875" w:type="dxa"/>
            <w:tcBorders>
              <w:top w:val="single" w:color="auto" w:sz="8" w:space="0"/>
            </w:tcBorders>
            <w:shd w:val="clear" w:color="auto" w:fill="auto"/>
            <w:vAlign w:val="center"/>
          </w:tcPr>
          <w:p w14:paraId="00B45D46">
            <w:pPr>
              <w:pStyle w:val="178"/>
            </w:pPr>
          </w:p>
        </w:tc>
        <w:tc>
          <w:tcPr>
            <w:tcW w:w="1875" w:type="dxa"/>
            <w:tcBorders>
              <w:top w:val="single" w:color="auto" w:sz="8" w:space="0"/>
            </w:tcBorders>
            <w:shd w:val="clear" w:color="auto" w:fill="auto"/>
            <w:vAlign w:val="center"/>
          </w:tcPr>
          <w:p w14:paraId="2D615C22">
            <w:pPr>
              <w:pStyle w:val="178"/>
            </w:pPr>
          </w:p>
        </w:tc>
        <w:tc>
          <w:tcPr>
            <w:tcW w:w="1875" w:type="dxa"/>
            <w:tcBorders>
              <w:top w:val="single" w:color="auto" w:sz="8" w:space="0"/>
            </w:tcBorders>
            <w:shd w:val="clear" w:color="auto" w:fill="auto"/>
            <w:vAlign w:val="center"/>
          </w:tcPr>
          <w:p w14:paraId="01AE1861">
            <w:pPr>
              <w:pStyle w:val="178"/>
            </w:pPr>
          </w:p>
        </w:tc>
      </w:tr>
      <w:tr w14:paraId="3561D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shd w:val="clear" w:color="auto" w:fill="auto"/>
            <w:vAlign w:val="center"/>
          </w:tcPr>
          <w:p w14:paraId="6EB4B229">
            <w:pPr>
              <w:pStyle w:val="178"/>
            </w:pPr>
          </w:p>
        </w:tc>
        <w:tc>
          <w:tcPr>
            <w:tcW w:w="1875" w:type="dxa"/>
            <w:shd w:val="clear" w:color="auto" w:fill="auto"/>
            <w:vAlign w:val="center"/>
          </w:tcPr>
          <w:p w14:paraId="70F65A6F">
            <w:pPr>
              <w:pStyle w:val="178"/>
            </w:pPr>
          </w:p>
        </w:tc>
        <w:tc>
          <w:tcPr>
            <w:tcW w:w="1875" w:type="dxa"/>
            <w:shd w:val="clear" w:color="auto" w:fill="auto"/>
            <w:vAlign w:val="center"/>
          </w:tcPr>
          <w:p w14:paraId="0D74D664">
            <w:pPr>
              <w:pStyle w:val="178"/>
            </w:pPr>
          </w:p>
        </w:tc>
        <w:tc>
          <w:tcPr>
            <w:tcW w:w="1875" w:type="dxa"/>
            <w:shd w:val="clear" w:color="auto" w:fill="auto"/>
            <w:vAlign w:val="center"/>
          </w:tcPr>
          <w:p w14:paraId="181B5BC3">
            <w:pPr>
              <w:pStyle w:val="178"/>
            </w:pPr>
          </w:p>
        </w:tc>
        <w:tc>
          <w:tcPr>
            <w:tcW w:w="1875" w:type="dxa"/>
            <w:shd w:val="clear" w:color="auto" w:fill="auto"/>
            <w:vAlign w:val="center"/>
          </w:tcPr>
          <w:p w14:paraId="506AE495">
            <w:pPr>
              <w:pStyle w:val="178"/>
            </w:pPr>
          </w:p>
        </w:tc>
      </w:tr>
      <w:tr w14:paraId="659D9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shd w:val="clear" w:color="auto" w:fill="auto"/>
            <w:vAlign w:val="center"/>
          </w:tcPr>
          <w:p w14:paraId="2A846D74">
            <w:pPr>
              <w:pStyle w:val="178"/>
            </w:pPr>
          </w:p>
        </w:tc>
        <w:tc>
          <w:tcPr>
            <w:tcW w:w="1875" w:type="dxa"/>
            <w:shd w:val="clear" w:color="auto" w:fill="auto"/>
            <w:vAlign w:val="center"/>
          </w:tcPr>
          <w:p w14:paraId="62B9160C">
            <w:pPr>
              <w:pStyle w:val="178"/>
            </w:pPr>
          </w:p>
        </w:tc>
        <w:tc>
          <w:tcPr>
            <w:tcW w:w="1875" w:type="dxa"/>
            <w:shd w:val="clear" w:color="auto" w:fill="auto"/>
            <w:vAlign w:val="center"/>
          </w:tcPr>
          <w:p w14:paraId="3B6E5BE5">
            <w:pPr>
              <w:pStyle w:val="178"/>
            </w:pPr>
          </w:p>
        </w:tc>
        <w:tc>
          <w:tcPr>
            <w:tcW w:w="1875" w:type="dxa"/>
            <w:shd w:val="clear" w:color="auto" w:fill="auto"/>
            <w:vAlign w:val="center"/>
          </w:tcPr>
          <w:p w14:paraId="5B939F16">
            <w:pPr>
              <w:pStyle w:val="178"/>
            </w:pPr>
          </w:p>
        </w:tc>
        <w:tc>
          <w:tcPr>
            <w:tcW w:w="1875" w:type="dxa"/>
            <w:shd w:val="clear" w:color="auto" w:fill="auto"/>
            <w:vAlign w:val="center"/>
          </w:tcPr>
          <w:p w14:paraId="4586E478">
            <w:pPr>
              <w:pStyle w:val="178"/>
            </w:pPr>
          </w:p>
        </w:tc>
      </w:tr>
      <w:tr w14:paraId="7F787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18E9186B">
            <w:pPr>
              <w:pStyle w:val="178"/>
            </w:pPr>
          </w:p>
        </w:tc>
        <w:tc>
          <w:tcPr>
            <w:tcW w:w="1875" w:type="dxa"/>
            <w:shd w:val="clear" w:color="auto" w:fill="auto"/>
            <w:vAlign w:val="center"/>
          </w:tcPr>
          <w:p w14:paraId="3CF63CA2">
            <w:pPr>
              <w:pStyle w:val="178"/>
            </w:pPr>
          </w:p>
        </w:tc>
        <w:tc>
          <w:tcPr>
            <w:tcW w:w="1875" w:type="dxa"/>
            <w:shd w:val="clear" w:color="auto" w:fill="auto"/>
            <w:vAlign w:val="center"/>
          </w:tcPr>
          <w:p w14:paraId="77EF1076">
            <w:pPr>
              <w:pStyle w:val="178"/>
            </w:pPr>
          </w:p>
        </w:tc>
        <w:tc>
          <w:tcPr>
            <w:tcW w:w="1875" w:type="dxa"/>
            <w:shd w:val="clear" w:color="auto" w:fill="auto"/>
            <w:vAlign w:val="center"/>
          </w:tcPr>
          <w:p w14:paraId="733D0BE1">
            <w:pPr>
              <w:pStyle w:val="178"/>
            </w:pPr>
          </w:p>
        </w:tc>
        <w:tc>
          <w:tcPr>
            <w:tcW w:w="1875" w:type="dxa"/>
            <w:shd w:val="clear" w:color="auto" w:fill="auto"/>
            <w:vAlign w:val="center"/>
          </w:tcPr>
          <w:p w14:paraId="0D9FD2AA">
            <w:pPr>
              <w:pStyle w:val="178"/>
            </w:pPr>
          </w:p>
        </w:tc>
      </w:tr>
      <w:tr w14:paraId="5737D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10427F04">
            <w:pPr>
              <w:pStyle w:val="178"/>
            </w:pPr>
          </w:p>
        </w:tc>
        <w:tc>
          <w:tcPr>
            <w:tcW w:w="1875" w:type="dxa"/>
            <w:shd w:val="clear" w:color="auto" w:fill="auto"/>
            <w:vAlign w:val="center"/>
          </w:tcPr>
          <w:p w14:paraId="0AA0B89A">
            <w:pPr>
              <w:pStyle w:val="178"/>
            </w:pPr>
          </w:p>
        </w:tc>
        <w:tc>
          <w:tcPr>
            <w:tcW w:w="1875" w:type="dxa"/>
            <w:shd w:val="clear" w:color="auto" w:fill="auto"/>
            <w:vAlign w:val="center"/>
          </w:tcPr>
          <w:p w14:paraId="2EB88FE5">
            <w:pPr>
              <w:pStyle w:val="178"/>
            </w:pPr>
          </w:p>
        </w:tc>
        <w:tc>
          <w:tcPr>
            <w:tcW w:w="1875" w:type="dxa"/>
            <w:shd w:val="clear" w:color="auto" w:fill="auto"/>
            <w:vAlign w:val="center"/>
          </w:tcPr>
          <w:p w14:paraId="65534FF0">
            <w:pPr>
              <w:pStyle w:val="178"/>
            </w:pPr>
          </w:p>
        </w:tc>
        <w:tc>
          <w:tcPr>
            <w:tcW w:w="1875" w:type="dxa"/>
            <w:shd w:val="clear" w:color="auto" w:fill="auto"/>
            <w:vAlign w:val="center"/>
          </w:tcPr>
          <w:p w14:paraId="1C4C6955">
            <w:pPr>
              <w:pStyle w:val="178"/>
            </w:pPr>
          </w:p>
        </w:tc>
      </w:tr>
      <w:tr w14:paraId="2C514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053865E4">
            <w:pPr>
              <w:pStyle w:val="178"/>
            </w:pPr>
          </w:p>
        </w:tc>
        <w:tc>
          <w:tcPr>
            <w:tcW w:w="1875" w:type="dxa"/>
            <w:shd w:val="clear" w:color="auto" w:fill="auto"/>
            <w:vAlign w:val="center"/>
          </w:tcPr>
          <w:p w14:paraId="6579A5D3">
            <w:pPr>
              <w:pStyle w:val="178"/>
            </w:pPr>
          </w:p>
        </w:tc>
        <w:tc>
          <w:tcPr>
            <w:tcW w:w="1875" w:type="dxa"/>
            <w:shd w:val="clear" w:color="auto" w:fill="auto"/>
            <w:vAlign w:val="center"/>
          </w:tcPr>
          <w:p w14:paraId="49FECED3">
            <w:pPr>
              <w:pStyle w:val="178"/>
            </w:pPr>
          </w:p>
        </w:tc>
        <w:tc>
          <w:tcPr>
            <w:tcW w:w="1875" w:type="dxa"/>
            <w:shd w:val="clear" w:color="auto" w:fill="auto"/>
            <w:vAlign w:val="center"/>
          </w:tcPr>
          <w:p w14:paraId="48EB7A19">
            <w:pPr>
              <w:pStyle w:val="178"/>
            </w:pPr>
          </w:p>
        </w:tc>
        <w:tc>
          <w:tcPr>
            <w:tcW w:w="1875" w:type="dxa"/>
            <w:shd w:val="clear" w:color="auto" w:fill="auto"/>
            <w:vAlign w:val="center"/>
          </w:tcPr>
          <w:p w14:paraId="31FC1B99">
            <w:pPr>
              <w:pStyle w:val="178"/>
            </w:pPr>
          </w:p>
        </w:tc>
      </w:tr>
      <w:tr w14:paraId="23495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3E5C1BAA">
            <w:pPr>
              <w:pStyle w:val="178"/>
            </w:pPr>
          </w:p>
        </w:tc>
        <w:tc>
          <w:tcPr>
            <w:tcW w:w="1875" w:type="dxa"/>
            <w:shd w:val="clear" w:color="auto" w:fill="auto"/>
            <w:vAlign w:val="center"/>
          </w:tcPr>
          <w:p w14:paraId="3ABF65FE">
            <w:pPr>
              <w:pStyle w:val="178"/>
            </w:pPr>
          </w:p>
        </w:tc>
        <w:tc>
          <w:tcPr>
            <w:tcW w:w="1875" w:type="dxa"/>
            <w:shd w:val="clear" w:color="auto" w:fill="auto"/>
            <w:vAlign w:val="center"/>
          </w:tcPr>
          <w:p w14:paraId="4C2F1657">
            <w:pPr>
              <w:pStyle w:val="178"/>
            </w:pPr>
          </w:p>
        </w:tc>
        <w:tc>
          <w:tcPr>
            <w:tcW w:w="1875" w:type="dxa"/>
            <w:shd w:val="clear" w:color="auto" w:fill="auto"/>
            <w:vAlign w:val="center"/>
          </w:tcPr>
          <w:p w14:paraId="6ABAE341">
            <w:pPr>
              <w:pStyle w:val="178"/>
            </w:pPr>
          </w:p>
        </w:tc>
        <w:tc>
          <w:tcPr>
            <w:tcW w:w="1875" w:type="dxa"/>
            <w:shd w:val="clear" w:color="auto" w:fill="auto"/>
            <w:vAlign w:val="center"/>
          </w:tcPr>
          <w:p w14:paraId="11090069">
            <w:pPr>
              <w:pStyle w:val="178"/>
            </w:pPr>
          </w:p>
        </w:tc>
      </w:tr>
      <w:tr w14:paraId="65A6A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5712EE14">
            <w:pPr>
              <w:pStyle w:val="178"/>
            </w:pPr>
          </w:p>
        </w:tc>
        <w:tc>
          <w:tcPr>
            <w:tcW w:w="1875" w:type="dxa"/>
            <w:shd w:val="clear" w:color="auto" w:fill="auto"/>
            <w:vAlign w:val="center"/>
          </w:tcPr>
          <w:p w14:paraId="3636711F">
            <w:pPr>
              <w:pStyle w:val="178"/>
            </w:pPr>
          </w:p>
        </w:tc>
        <w:tc>
          <w:tcPr>
            <w:tcW w:w="1875" w:type="dxa"/>
            <w:shd w:val="clear" w:color="auto" w:fill="auto"/>
            <w:vAlign w:val="center"/>
          </w:tcPr>
          <w:p w14:paraId="4956FCF8">
            <w:pPr>
              <w:pStyle w:val="178"/>
            </w:pPr>
          </w:p>
        </w:tc>
        <w:tc>
          <w:tcPr>
            <w:tcW w:w="1875" w:type="dxa"/>
            <w:shd w:val="clear" w:color="auto" w:fill="auto"/>
            <w:vAlign w:val="center"/>
          </w:tcPr>
          <w:p w14:paraId="2DE1588C">
            <w:pPr>
              <w:pStyle w:val="178"/>
            </w:pPr>
          </w:p>
        </w:tc>
        <w:tc>
          <w:tcPr>
            <w:tcW w:w="1875" w:type="dxa"/>
            <w:shd w:val="clear" w:color="auto" w:fill="auto"/>
            <w:vAlign w:val="center"/>
          </w:tcPr>
          <w:p w14:paraId="505093B1">
            <w:pPr>
              <w:pStyle w:val="178"/>
            </w:pPr>
          </w:p>
        </w:tc>
      </w:tr>
      <w:tr w14:paraId="74C01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6E41DB63">
            <w:pPr>
              <w:pStyle w:val="178"/>
            </w:pPr>
          </w:p>
        </w:tc>
        <w:tc>
          <w:tcPr>
            <w:tcW w:w="1875" w:type="dxa"/>
            <w:shd w:val="clear" w:color="auto" w:fill="auto"/>
            <w:vAlign w:val="center"/>
          </w:tcPr>
          <w:p w14:paraId="22A1E8FF">
            <w:pPr>
              <w:pStyle w:val="178"/>
            </w:pPr>
          </w:p>
        </w:tc>
        <w:tc>
          <w:tcPr>
            <w:tcW w:w="1875" w:type="dxa"/>
            <w:shd w:val="clear" w:color="auto" w:fill="auto"/>
            <w:vAlign w:val="center"/>
          </w:tcPr>
          <w:p w14:paraId="19F07944">
            <w:pPr>
              <w:pStyle w:val="178"/>
            </w:pPr>
          </w:p>
        </w:tc>
        <w:tc>
          <w:tcPr>
            <w:tcW w:w="1875" w:type="dxa"/>
            <w:shd w:val="clear" w:color="auto" w:fill="auto"/>
            <w:vAlign w:val="center"/>
          </w:tcPr>
          <w:p w14:paraId="3EAEEF22">
            <w:pPr>
              <w:pStyle w:val="178"/>
            </w:pPr>
          </w:p>
        </w:tc>
        <w:tc>
          <w:tcPr>
            <w:tcW w:w="1875" w:type="dxa"/>
            <w:shd w:val="clear" w:color="auto" w:fill="auto"/>
            <w:vAlign w:val="center"/>
          </w:tcPr>
          <w:p w14:paraId="4285441B">
            <w:pPr>
              <w:pStyle w:val="178"/>
            </w:pPr>
          </w:p>
        </w:tc>
      </w:tr>
      <w:tr w14:paraId="5D474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39A595A7">
            <w:pPr>
              <w:pStyle w:val="178"/>
            </w:pPr>
          </w:p>
        </w:tc>
        <w:tc>
          <w:tcPr>
            <w:tcW w:w="1875" w:type="dxa"/>
            <w:shd w:val="clear" w:color="auto" w:fill="auto"/>
            <w:vAlign w:val="center"/>
          </w:tcPr>
          <w:p w14:paraId="4968C45E">
            <w:pPr>
              <w:pStyle w:val="178"/>
            </w:pPr>
          </w:p>
        </w:tc>
        <w:tc>
          <w:tcPr>
            <w:tcW w:w="1875" w:type="dxa"/>
            <w:shd w:val="clear" w:color="auto" w:fill="auto"/>
            <w:vAlign w:val="center"/>
          </w:tcPr>
          <w:p w14:paraId="77AC285D">
            <w:pPr>
              <w:pStyle w:val="178"/>
            </w:pPr>
          </w:p>
        </w:tc>
        <w:tc>
          <w:tcPr>
            <w:tcW w:w="1875" w:type="dxa"/>
            <w:shd w:val="clear" w:color="auto" w:fill="auto"/>
            <w:vAlign w:val="center"/>
          </w:tcPr>
          <w:p w14:paraId="0066B2C7">
            <w:pPr>
              <w:pStyle w:val="178"/>
            </w:pPr>
          </w:p>
        </w:tc>
        <w:tc>
          <w:tcPr>
            <w:tcW w:w="1875" w:type="dxa"/>
            <w:shd w:val="clear" w:color="auto" w:fill="auto"/>
            <w:vAlign w:val="center"/>
          </w:tcPr>
          <w:p w14:paraId="7816F34C">
            <w:pPr>
              <w:pStyle w:val="178"/>
            </w:pPr>
          </w:p>
        </w:tc>
      </w:tr>
      <w:tr w14:paraId="0B07F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005EEF43">
            <w:pPr>
              <w:pStyle w:val="178"/>
            </w:pPr>
          </w:p>
        </w:tc>
        <w:tc>
          <w:tcPr>
            <w:tcW w:w="1875" w:type="dxa"/>
            <w:shd w:val="clear" w:color="auto" w:fill="auto"/>
            <w:vAlign w:val="center"/>
          </w:tcPr>
          <w:p w14:paraId="4C648B79">
            <w:pPr>
              <w:pStyle w:val="178"/>
            </w:pPr>
          </w:p>
        </w:tc>
        <w:tc>
          <w:tcPr>
            <w:tcW w:w="1875" w:type="dxa"/>
            <w:shd w:val="clear" w:color="auto" w:fill="auto"/>
            <w:vAlign w:val="center"/>
          </w:tcPr>
          <w:p w14:paraId="07CE172B">
            <w:pPr>
              <w:pStyle w:val="178"/>
            </w:pPr>
          </w:p>
        </w:tc>
        <w:tc>
          <w:tcPr>
            <w:tcW w:w="1875" w:type="dxa"/>
            <w:shd w:val="clear" w:color="auto" w:fill="auto"/>
            <w:vAlign w:val="center"/>
          </w:tcPr>
          <w:p w14:paraId="652B1EA1">
            <w:pPr>
              <w:pStyle w:val="178"/>
            </w:pPr>
          </w:p>
        </w:tc>
        <w:tc>
          <w:tcPr>
            <w:tcW w:w="1875" w:type="dxa"/>
            <w:shd w:val="clear" w:color="auto" w:fill="auto"/>
            <w:vAlign w:val="center"/>
          </w:tcPr>
          <w:p w14:paraId="0A33B96D">
            <w:pPr>
              <w:pStyle w:val="178"/>
            </w:pPr>
          </w:p>
        </w:tc>
      </w:tr>
      <w:tr w14:paraId="5CA63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557CF035">
            <w:pPr>
              <w:pStyle w:val="178"/>
            </w:pPr>
          </w:p>
        </w:tc>
        <w:tc>
          <w:tcPr>
            <w:tcW w:w="1875" w:type="dxa"/>
            <w:shd w:val="clear" w:color="auto" w:fill="auto"/>
            <w:vAlign w:val="center"/>
          </w:tcPr>
          <w:p w14:paraId="63AB83DF">
            <w:pPr>
              <w:pStyle w:val="178"/>
            </w:pPr>
          </w:p>
        </w:tc>
        <w:tc>
          <w:tcPr>
            <w:tcW w:w="1875" w:type="dxa"/>
            <w:shd w:val="clear" w:color="auto" w:fill="auto"/>
            <w:vAlign w:val="center"/>
          </w:tcPr>
          <w:p w14:paraId="62494200">
            <w:pPr>
              <w:pStyle w:val="178"/>
            </w:pPr>
          </w:p>
        </w:tc>
        <w:tc>
          <w:tcPr>
            <w:tcW w:w="1875" w:type="dxa"/>
            <w:shd w:val="clear" w:color="auto" w:fill="auto"/>
            <w:vAlign w:val="center"/>
          </w:tcPr>
          <w:p w14:paraId="160B6DBF">
            <w:pPr>
              <w:pStyle w:val="178"/>
            </w:pPr>
          </w:p>
        </w:tc>
        <w:tc>
          <w:tcPr>
            <w:tcW w:w="1875" w:type="dxa"/>
            <w:shd w:val="clear" w:color="auto" w:fill="auto"/>
            <w:vAlign w:val="center"/>
          </w:tcPr>
          <w:p w14:paraId="2C6A12E4">
            <w:pPr>
              <w:pStyle w:val="178"/>
            </w:pPr>
          </w:p>
        </w:tc>
      </w:tr>
      <w:tr w14:paraId="40D43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64A25249">
            <w:pPr>
              <w:pStyle w:val="178"/>
            </w:pPr>
          </w:p>
        </w:tc>
        <w:tc>
          <w:tcPr>
            <w:tcW w:w="1875" w:type="dxa"/>
            <w:shd w:val="clear" w:color="auto" w:fill="auto"/>
            <w:vAlign w:val="center"/>
          </w:tcPr>
          <w:p w14:paraId="0E48FB72">
            <w:pPr>
              <w:pStyle w:val="178"/>
            </w:pPr>
          </w:p>
        </w:tc>
        <w:tc>
          <w:tcPr>
            <w:tcW w:w="1875" w:type="dxa"/>
            <w:shd w:val="clear" w:color="auto" w:fill="auto"/>
            <w:vAlign w:val="center"/>
          </w:tcPr>
          <w:p w14:paraId="22762947">
            <w:pPr>
              <w:pStyle w:val="178"/>
            </w:pPr>
          </w:p>
        </w:tc>
        <w:tc>
          <w:tcPr>
            <w:tcW w:w="1875" w:type="dxa"/>
            <w:shd w:val="clear" w:color="auto" w:fill="auto"/>
            <w:vAlign w:val="center"/>
          </w:tcPr>
          <w:p w14:paraId="141819ED">
            <w:pPr>
              <w:pStyle w:val="178"/>
            </w:pPr>
          </w:p>
        </w:tc>
        <w:tc>
          <w:tcPr>
            <w:tcW w:w="1875" w:type="dxa"/>
            <w:shd w:val="clear" w:color="auto" w:fill="auto"/>
            <w:vAlign w:val="center"/>
          </w:tcPr>
          <w:p w14:paraId="632278F5">
            <w:pPr>
              <w:pStyle w:val="178"/>
            </w:pPr>
          </w:p>
        </w:tc>
      </w:tr>
      <w:tr w14:paraId="0AC89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6D4A56B0">
            <w:pPr>
              <w:pStyle w:val="178"/>
            </w:pPr>
          </w:p>
        </w:tc>
        <w:tc>
          <w:tcPr>
            <w:tcW w:w="1875" w:type="dxa"/>
            <w:shd w:val="clear" w:color="auto" w:fill="auto"/>
            <w:vAlign w:val="center"/>
          </w:tcPr>
          <w:p w14:paraId="566B0957">
            <w:pPr>
              <w:pStyle w:val="178"/>
            </w:pPr>
          </w:p>
        </w:tc>
        <w:tc>
          <w:tcPr>
            <w:tcW w:w="1875" w:type="dxa"/>
            <w:shd w:val="clear" w:color="auto" w:fill="auto"/>
            <w:vAlign w:val="center"/>
          </w:tcPr>
          <w:p w14:paraId="51D460AE">
            <w:pPr>
              <w:pStyle w:val="178"/>
            </w:pPr>
          </w:p>
        </w:tc>
        <w:tc>
          <w:tcPr>
            <w:tcW w:w="1875" w:type="dxa"/>
            <w:shd w:val="clear" w:color="auto" w:fill="auto"/>
            <w:vAlign w:val="center"/>
          </w:tcPr>
          <w:p w14:paraId="309036A0">
            <w:pPr>
              <w:pStyle w:val="178"/>
            </w:pPr>
          </w:p>
        </w:tc>
        <w:tc>
          <w:tcPr>
            <w:tcW w:w="1875" w:type="dxa"/>
            <w:shd w:val="clear" w:color="auto" w:fill="auto"/>
            <w:vAlign w:val="center"/>
          </w:tcPr>
          <w:p w14:paraId="0AA91860">
            <w:pPr>
              <w:pStyle w:val="178"/>
            </w:pPr>
          </w:p>
        </w:tc>
      </w:tr>
      <w:tr w14:paraId="70CE5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6EA79788">
            <w:pPr>
              <w:pStyle w:val="178"/>
            </w:pPr>
          </w:p>
        </w:tc>
        <w:tc>
          <w:tcPr>
            <w:tcW w:w="1875" w:type="dxa"/>
            <w:shd w:val="clear" w:color="auto" w:fill="auto"/>
            <w:vAlign w:val="center"/>
          </w:tcPr>
          <w:p w14:paraId="073FBE79">
            <w:pPr>
              <w:pStyle w:val="178"/>
            </w:pPr>
          </w:p>
        </w:tc>
        <w:tc>
          <w:tcPr>
            <w:tcW w:w="1875" w:type="dxa"/>
            <w:shd w:val="clear" w:color="auto" w:fill="auto"/>
            <w:vAlign w:val="center"/>
          </w:tcPr>
          <w:p w14:paraId="296D9D0B">
            <w:pPr>
              <w:pStyle w:val="178"/>
            </w:pPr>
          </w:p>
        </w:tc>
        <w:tc>
          <w:tcPr>
            <w:tcW w:w="1875" w:type="dxa"/>
            <w:shd w:val="clear" w:color="auto" w:fill="auto"/>
            <w:vAlign w:val="center"/>
          </w:tcPr>
          <w:p w14:paraId="5C4442F2">
            <w:pPr>
              <w:pStyle w:val="178"/>
            </w:pPr>
          </w:p>
        </w:tc>
        <w:tc>
          <w:tcPr>
            <w:tcW w:w="1875" w:type="dxa"/>
            <w:shd w:val="clear" w:color="auto" w:fill="auto"/>
            <w:vAlign w:val="center"/>
          </w:tcPr>
          <w:p w14:paraId="050DDE4F">
            <w:pPr>
              <w:pStyle w:val="178"/>
            </w:pPr>
          </w:p>
        </w:tc>
      </w:tr>
      <w:tr w14:paraId="675D9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37B12FF2">
            <w:pPr>
              <w:pStyle w:val="178"/>
            </w:pPr>
          </w:p>
        </w:tc>
        <w:tc>
          <w:tcPr>
            <w:tcW w:w="1875" w:type="dxa"/>
            <w:shd w:val="clear" w:color="auto" w:fill="auto"/>
            <w:vAlign w:val="center"/>
          </w:tcPr>
          <w:p w14:paraId="790D7164">
            <w:pPr>
              <w:pStyle w:val="178"/>
            </w:pPr>
          </w:p>
        </w:tc>
        <w:tc>
          <w:tcPr>
            <w:tcW w:w="1875" w:type="dxa"/>
            <w:shd w:val="clear" w:color="auto" w:fill="auto"/>
            <w:vAlign w:val="center"/>
          </w:tcPr>
          <w:p w14:paraId="70D5FCC0">
            <w:pPr>
              <w:pStyle w:val="178"/>
            </w:pPr>
          </w:p>
        </w:tc>
        <w:tc>
          <w:tcPr>
            <w:tcW w:w="1875" w:type="dxa"/>
            <w:shd w:val="clear" w:color="auto" w:fill="auto"/>
            <w:vAlign w:val="center"/>
          </w:tcPr>
          <w:p w14:paraId="6D5F455C">
            <w:pPr>
              <w:pStyle w:val="178"/>
            </w:pPr>
          </w:p>
        </w:tc>
        <w:tc>
          <w:tcPr>
            <w:tcW w:w="1875" w:type="dxa"/>
            <w:shd w:val="clear" w:color="auto" w:fill="auto"/>
            <w:vAlign w:val="center"/>
          </w:tcPr>
          <w:p w14:paraId="6B14A53A">
            <w:pPr>
              <w:pStyle w:val="178"/>
            </w:pPr>
          </w:p>
        </w:tc>
      </w:tr>
      <w:tr w14:paraId="7F86A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38A652FC">
            <w:pPr>
              <w:pStyle w:val="178"/>
            </w:pPr>
          </w:p>
        </w:tc>
        <w:tc>
          <w:tcPr>
            <w:tcW w:w="1875" w:type="dxa"/>
            <w:shd w:val="clear" w:color="auto" w:fill="auto"/>
            <w:vAlign w:val="center"/>
          </w:tcPr>
          <w:p w14:paraId="0D67258E">
            <w:pPr>
              <w:pStyle w:val="178"/>
            </w:pPr>
          </w:p>
        </w:tc>
        <w:tc>
          <w:tcPr>
            <w:tcW w:w="1875" w:type="dxa"/>
            <w:shd w:val="clear" w:color="auto" w:fill="auto"/>
            <w:vAlign w:val="center"/>
          </w:tcPr>
          <w:p w14:paraId="579F0313">
            <w:pPr>
              <w:pStyle w:val="178"/>
            </w:pPr>
          </w:p>
        </w:tc>
        <w:tc>
          <w:tcPr>
            <w:tcW w:w="1875" w:type="dxa"/>
            <w:shd w:val="clear" w:color="auto" w:fill="auto"/>
            <w:vAlign w:val="center"/>
          </w:tcPr>
          <w:p w14:paraId="71E96BC8">
            <w:pPr>
              <w:pStyle w:val="178"/>
            </w:pPr>
          </w:p>
        </w:tc>
        <w:tc>
          <w:tcPr>
            <w:tcW w:w="1875" w:type="dxa"/>
            <w:shd w:val="clear" w:color="auto" w:fill="auto"/>
            <w:vAlign w:val="center"/>
          </w:tcPr>
          <w:p w14:paraId="01F609A8">
            <w:pPr>
              <w:pStyle w:val="178"/>
            </w:pPr>
          </w:p>
        </w:tc>
      </w:tr>
      <w:tr w14:paraId="73FB8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251C4D57">
            <w:pPr>
              <w:pStyle w:val="178"/>
            </w:pPr>
          </w:p>
        </w:tc>
        <w:tc>
          <w:tcPr>
            <w:tcW w:w="1875" w:type="dxa"/>
            <w:shd w:val="clear" w:color="auto" w:fill="auto"/>
            <w:vAlign w:val="center"/>
          </w:tcPr>
          <w:p w14:paraId="5812B614">
            <w:pPr>
              <w:pStyle w:val="178"/>
            </w:pPr>
          </w:p>
        </w:tc>
        <w:tc>
          <w:tcPr>
            <w:tcW w:w="1875" w:type="dxa"/>
            <w:shd w:val="clear" w:color="auto" w:fill="auto"/>
            <w:vAlign w:val="center"/>
          </w:tcPr>
          <w:p w14:paraId="1405BC6A">
            <w:pPr>
              <w:pStyle w:val="178"/>
            </w:pPr>
          </w:p>
        </w:tc>
        <w:tc>
          <w:tcPr>
            <w:tcW w:w="1875" w:type="dxa"/>
            <w:shd w:val="clear" w:color="auto" w:fill="auto"/>
            <w:vAlign w:val="center"/>
          </w:tcPr>
          <w:p w14:paraId="3F720680">
            <w:pPr>
              <w:pStyle w:val="178"/>
            </w:pPr>
          </w:p>
        </w:tc>
        <w:tc>
          <w:tcPr>
            <w:tcW w:w="1875" w:type="dxa"/>
            <w:shd w:val="clear" w:color="auto" w:fill="auto"/>
            <w:vAlign w:val="center"/>
          </w:tcPr>
          <w:p w14:paraId="17C2F4EB">
            <w:pPr>
              <w:pStyle w:val="178"/>
            </w:pPr>
          </w:p>
        </w:tc>
      </w:tr>
      <w:tr w14:paraId="6CFAF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14C676ED">
            <w:pPr>
              <w:pStyle w:val="178"/>
            </w:pPr>
          </w:p>
        </w:tc>
        <w:tc>
          <w:tcPr>
            <w:tcW w:w="1875" w:type="dxa"/>
            <w:shd w:val="clear" w:color="auto" w:fill="auto"/>
            <w:vAlign w:val="center"/>
          </w:tcPr>
          <w:p w14:paraId="58C90F4C">
            <w:pPr>
              <w:pStyle w:val="178"/>
            </w:pPr>
          </w:p>
        </w:tc>
        <w:tc>
          <w:tcPr>
            <w:tcW w:w="1875" w:type="dxa"/>
            <w:shd w:val="clear" w:color="auto" w:fill="auto"/>
            <w:vAlign w:val="center"/>
          </w:tcPr>
          <w:p w14:paraId="305722FF">
            <w:pPr>
              <w:pStyle w:val="178"/>
            </w:pPr>
          </w:p>
        </w:tc>
        <w:tc>
          <w:tcPr>
            <w:tcW w:w="1875" w:type="dxa"/>
            <w:shd w:val="clear" w:color="auto" w:fill="auto"/>
            <w:vAlign w:val="center"/>
          </w:tcPr>
          <w:p w14:paraId="74CC8BB5">
            <w:pPr>
              <w:pStyle w:val="178"/>
            </w:pPr>
          </w:p>
        </w:tc>
        <w:tc>
          <w:tcPr>
            <w:tcW w:w="1875" w:type="dxa"/>
            <w:shd w:val="clear" w:color="auto" w:fill="auto"/>
            <w:vAlign w:val="center"/>
          </w:tcPr>
          <w:p w14:paraId="6E818211">
            <w:pPr>
              <w:pStyle w:val="178"/>
            </w:pPr>
          </w:p>
        </w:tc>
      </w:tr>
      <w:tr w14:paraId="15BE8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157A5D83">
            <w:pPr>
              <w:pStyle w:val="178"/>
            </w:pPr>
          </w:p>
        </w:tc>
        <w:tc>
          <w:tcPr>
            <w:tcW w:w="1875" w:type="dxa"/>
            <w:shd w:val="clear" w:color="auto" w:fill="auto"/>
            <w:vAlign w:val="center"/>
          </w:tcPr>
          <w:p w14:paraId="2AE497E1">
            <w:pPr>
              <w:pStyle w:val="178"/>
            </w:pPr>
          </w:p>
        </w:tc>
        <w:tc>
          <w:tcPr>
            <w:tcW w:w="1875" w:type="dxa"/>
            <w:shd w:val="clear" w:color="auto" w:fill="auto"/>
            <w:vAlign w:val="center"/>
          </w:tcPr>
          <w:p w14:paraId="75BF1B7D">
            <w:pPr>
              <w:pStyle w:val="178"/>
            </w:pPr>
          </w:p>
        </w:tc>
        <w:tc>
          <w:tcPr>
            <w:tcW w:w="1875" w:type="dxa"/>
            <w:shd w:val="clear" w:color="auto" w:fill="auto"/>
            <w:vAlign w:val="center"/>
          </w:tcPr>
          <w:p w14:paraId="1FAA92E2">
            <w:pPr>
              <w:pStyle w:val="178"/>
            </w:pPr>
          </w:p>
        </w:tc>
        <w:tc>
          <w:tcPr>
            <w:tcW w:w="1875" w:type="dxa"/>
            <w:shd w:val="clear" w:color="auto" w:fill="auto"/>
            <w:vAlign w:val="center"/>
          </w:tcPr>
          <w:p w14:paraId="706B7C37">
            <w:pPr>
              <w:pStyle w:val="178"/>
            </w:pPr>
          </w:p>
        </w:tc>
      </w:tr>
      <w:tr w14:paraId="320DB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4137D8E9">
            <w:pPr>
              <w:pStyle w:val="178"/>
            </w:pPr>
          </w:p>
        </w:tc>
        <w:tc>
          <w:tcPr>
            <w:tcW w:w="1875" w:type="dxa"/>
            <w:shd w:val="clear" w:color="auto" w:fill="auto"/>
            <w:vAlign w:val="center"/>
          </w:tcPr>
          <w:p w14:paraId="2DBCB735">
            <w:pPr>
              <w:pStyle w:val="178"/>
            </w:pPr>
          </w:p>
        </w:tc>
        <w:tc>
          <w:tcPr>
            <w:tcW w:w="1875" w:type="dxa"/>
            <w:shd w:val="clear" w:color="auto" w:fill="auto"/>
            <w:vAlign w:val="center"/>
          </w:tcPr>
          <w:p w14:paraId="44849BD7">
            <w:pPr>
              <w:pStyle w:val="178"/>
            </w:pPr>
          </w:p>
        </w:tc>
        <w:tc>
          <w:tcPr>
            <w:tcW w:w="1875" w:type="dxa"/>
            <w:shd w:val="clear" w:color="auto" w:fill="auto"/>
            <w:vAlign w:val="center"/>
          </w:tcPr>
          <w:p w14:paraId="5FC949A2">
            <w:pPr>
              <w:pStyle w:val="178"/>
            </w:pPr>
          </w:p>
        </w:tc>
        <w:tc>
          <w:tcPr>
            <w:tcW w:w="1875" w:type="dxa"/>
            <w:shd w:val="clear" w:color="auto" w:fill="auto"/>
            <w:vAlign w:val="center"/>
          </w:tcPr>
          <w:p w14:paraId="22B6016F">
            <w:pPr>
              <w:pStyle w:val="178"/>
            </w:pPr>
          </w:p>
        </w:tc>
      </w:tr>
      <w:tr w14:paraId="21DB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3E2B1CA7">
            <w:pPr>
              <w:pStyle w:val="178"/>
            </w:pPr>
          </w:p>
        </w:tc>
        <w:tc>
          <w:tcPr>
            <w:tcW w:w="1875" w:type="dxa"/>
            <w:shd w:val="clear" w:color="auto" w:fill="auto"/>
            <w:vAlign w:val="center"/>
          </w:tcPr>
          <w:p w14:paraId="77CEDF28">
            <w:pPr>
              <w:pStyle w:val="178"/>
            </w:pPr>
          </w:p>
        </w:tc>
        <w:tc>
          <w:tcPr>
            <w:tcW w:w="1875" w:type="dxa"/>
            <w:shd w:val="clear" w:color="auto" w:fill="auto"/>
            <w:vAlign w:val="center"/>
          </w:tcPr>
          <w:p w14:paraId="35E51067">
            <w:pPr>
              <w:pStyle w:val="178"/>
            </w:pPr>
          </w:p>
        </w:tc>
        <w:tc>
          <w:tcPr>
            <w:tcW w:w="1875" w:type="dxa"/>
            <w:shd w:val="clear" w:color="auto" w:fill="auto"/>
            <w:vAlign w:val="center"/>
          </w:tcPr>
          <w:p w14:paraId="65A91A94">
            <w:pPr>
              <w:pStyle w:val="178"/>
            </w:pPr>
          </w:p>
        </w:tc>
        <w:tc>
          <w:tcPr>
            <w:tcW w:w="1875" w:type="dxa"/>
            <w:shd w:val="clear" w:color="auto" w:fill="auto"/>
            <w:vAlign w:val="center"/>
          </w:tcPr>
          <w:p w14:paraId="66F70DC6">
            <w:pPr>
              <w:pStyle w:val="178"/>
            </w:pPr>
          </w:p>
        </w:tc>
      </w:tr>
      <w:tr w14:paraId="0227C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23E0F903">
            <w:pPr>
              <w:pStyle w:val="178"/>
            </w:pPr>
          </w:p>
        </w:tc>
        <w:tc>
          <w:tcPr>
            <w:tcW w:w="1875" w:type="dxa"/>
            <w:shd w:val="clear" w:color="auto" w:fill="auto"/>
            <w:vAlign w:val="center"/>
          </w:tcPr>
          <w:p w14:paraId="1A692E7D">
            <w:pPr>
              <w:pStyle w:val="178"/>
            </w:pPr>
          </w:p>
        </w:tc>
        <w:tc>
          <w:tcPr>
            <w:tcW w:w="1875" w:type="dxa"/>
            <w:shd w:val="clear" w:color="auto" w:fill="auto"/>
            <w:vAlign w:val="center"/>
          </w:tcPr>
          <w:p w14:paraId="4FEA5FE4">
            <w:pPr>
              <w:pStyle w:val="178"/>
            </w:pPr>
          </w:p>
        </w:tc>
        <w:tc>
          <w:tcPr>
            <w:tcW w:w="1875" w:type="dxa"/>
            <w:shd w:val="clear" w:color="auto" w:fill="auto"/>
            <w:vAlign w:val="center"/>
          </w:tcPr>
          <w:p w14:paraId="23837927">
            <w:pPr>
              <w:pStyle w:val="178"/>
            </w:pPr>
          </w:p>
        </w:tc>
        <w:tc>
          <w:tcPr>
            <w:tcW w:w="1875" w:type="dxa"/>
            <w:shd w:val="clear" w:color="auto" w:fill="auto"/>
            <w:vAlign w:val="center"/>
          </w:tcPr>
          <w:p w14:paraId="77A4D497">
            <w:pPr>
              <w:pStyle w:val="178"/>
            </w:pPr>
          </w:p>
        </w:tc>
      </w:tr>
      <w:tr w14:paraId="2DA1A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693947F2">
            <w:pPr>
              <w:pStyle w:val="178"/>
            </w:pPr>
          </w:p>
        </w:tc>
        <w:tc>
          <w:tcPr>
            <w:tcW w:w="1875" w:type="dxa"/>
            <w:shd w:val="clear" w:color="auto" w:fill="auto"/>
            <w:vAlign w:val="center"/>
          </w:tcPr>
          <w:p w14:paraId="71E98C82">
            <w:pPr>
              <w:pStyle w:val="178"/>
            </w:pPr>
          </w:p>
        </w:tc>
        <w:tc>
          <w:tcPr>
            <w:tcW w:w="1875" w:type="dxa"/>
            <w:shd w:val="clear" w:color="auto" w:fill="auto"/>
            <w:vAlign w:val="center"/>
          </w:tcPr>
          <w:p w14:paraId="45840A18">
            <w:pPr>
              <w:pStyle w:val="178"/>
            </w:pPr>
          </w:p>
        </w:tc>
        <w:tc>
          <w:tcPr>
            <w:tcW w:w="1875" w:type="dxa"/>
            <w:shd w:val="clear" w:color="auto" w:fill="auto"/>
            <w:vAlign w:val="center"/>
          </w:tcPr>
          <w:p w14:paraId="02E3CC23">
            <w:pPr>
              <w:pStyle w:val="178"/>
            </w:pPr>
          </w:p>
        </w:tc>
        <w:tc>
          <w:tcPr>
            <w:tcW w:w="1875" w:type="dxa"/>
            <w:shd w:val="clear" w:color="auto" w:fill="auto"/>
            <w:vAlign w:val="center"/>
          </w:tcPr>
          <w:p w14:paraId="66F54511">
            <w:pPr>
              <w:pStyle w:val="178"/>
            </w:pPr>
          </w:p>
        </w:tc>
      </w:tr>
      <w:tr w14:paraId="765E9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74" w:type="dxa"/>
            <w:shd w:val="clear" w:color="auto" w:fill="auto"/>
            <w:vAlign w:val="center"/>
          </w:tcPr>
          <w:p w14:paraId="541F8A78">
            <w:pPr>
              <w:pStyle w:val="178"/>
            </w:pPr>
          </w:p>
        </w:tc>
        <w:tc>
          <w:tcPr>
            <w:tcW w:w="1875" w:type="dxa"/>
            <w:shd w:val="clear" w:color="auto" w:fill="auto"/>
            <w:vAlign w:val="center"/>
          </w:tcPr>
          <w:p w14:paraId="1AB830EC">
            <w:pPr>
              <w:pStyle w:val="178"/>
            </w:pPr>
          </w:p>
        </w:tc>
        <w:tc>
          <w:tcPr>
            <w:tcW w:w="1875" w:type="dxa"/>
            <w:shd w:val="clear" w:color="auto" w:fill="auto"/>
            <w:vAlign w:val="center"/>
          </w:tcPr>
          <w:p w14:paraId="6E9D0860">
            <w:pPr>
              <w:pStyle w:val="178"/>
            </w:pPr>
          </w:p>
        </w:tc>
        <w:tc>
          <w:tcPr>
            <w:tcW w:w="1875" w:type="dxa"/>
            <w:shd w:val="clear" w:color="auto" w:fill="auto"/>
            <w:vAlign w:val="center"/>
          </w:tcPr>
          <w:p w14:paraId="359BE53D">
            <w:pPr>
              <w:pStyle w:val="178"/>
            </w:pPr>
          </w:p>
        </w:tc>
        <w:tc>
          <w:tcPr>
            <w:tcW w:w="1875" w:type="dxa"/>
            <w:shd w:val="clear" w:color="auto" w:fill="auto"/>
            <w:vAlign w:val="center"/>
          </w:tcPr>
          <w:p w14:paraId="19F1DB8D">
            <w:pPr>
              <w:pStyle w:val="178"/>
            </w:pPr>
          </w:p>
        </w:tc>
      </w:tr>
    </w:tbl>
    <w:p w14:paraId="24AA1BE1">
      <w:pPr>
        <w:pStyle w:val="56"/>
        <w:ind w:firstLine="0" w:firstLineChars="0"/>
      </w:pPr>
      <w:r>
        <w:rPr>
          <w:rFonts w:hint="eastAsia"/>
        </w:rPr>
        <w:t>项目负责人：                      归档人：                   档案管理员：</w:t>
      </w:r>
    </w:p>
    <w:p w14:paraId="445A2288">
      <w:pPr>
        <w:pStyle w:val="56"/>
        <w:ind w:firstLine="630" w:firstLineChars="300"/>
      </w:pPr>
      <w:r>
        <w:rPr>
          <w:rFonts w:hint="eastAsia"/>
        </w:rPr>
        <w:t>日期：                        日期：                         日期：</w:t>
      </w:r>
    </w:p>
    <w:p w14:paraId="2A2CB0F0">
      <w:pPr>
        <w:pStyle w:val="56"/>
        <w:ind w:firstLine="420"/>
        <w:sectPr>
          <w:pgSz w:w="11906" w:h="16838"/>
          <w:pgMar w:top="1928" w:right="1134" w:bottom="1134" w:left="1134" w:header="1418" w:footer="1134" w:gutter="284"/>
          <w:cols w:space="425" w:num="1"/>
          <w:formProt w:val="0"/>
          <w:docGrid w:type="lines" w:linePitch="312" w:charSpace="0"/>
        </w:sectPr>
      </w:pPr>
    </w:p>
    <w:p w14:paraId="2688EB04">
      <w:pPr>
        <w:pStyle w:val="198"/>
        <w:rPr>
          <w:vanish w:val="0"/>
        </w:rPr>
      </w:pPr>
    </w:p>
    <w:p w14:paraId="3A8BF38F">
      <w:pPr>
        <w:pStyle w:val="199"/>
        <w:rPr>
          <w:vanish w:val="0"/>
        </w:rPr>
      </w:pPr>
    </w:p>
    <w:p w14:paraId="6AF820F1">
      <w:pPr>
        <w:pStyle w:val="76"/>
        <w:spacing w:after="156"/>
      </w:pPr>
      <w:r>
        <w:br w:type="textWrapping"/>
      </w:r>
      <w:r>
        <w:rPr>
          <w:rFonts w:hint="eastAsia"/>
        </w:rPr>
        <w:t>（资料性）</w:t>
      </w:r>
      <w:r>
        <w:br w:type="textWrapping"/>
      </w:r>
      <w:r>
        <w:rPr>
          <w:rFonts w:hint="eastAsia"/>
        </w:rPr>
        <w:t>表B.1  安全评价档案保管期限</w:t>
      </w:r>
    </w:p>
    <w:bookmarkEnd w:id="110"/>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95"/>
        <w:gridCol w:w="1701"/>
        <w:gridCol w:w="1417"/>
        <w:gridCol w:w="1560"/>
        <w:gridCol w:w="1559"/>
        <w:gridCol w:w="1142"/>
      </w:tblGrid>
      <w:tr w14:paraId="71291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95" w:type="dxa"/>
            <w:tcBorders>
              <w:top w:val="single" w:color="auto" w:sz="8" w:space="0"/>
              <w:bottom w:val="single" w:color="auto" w:sz="8" w:space="0"/>
            </w:tcBorders>
            <w:shd w:val="clear" w:color="auto" w:fill="auto"/>
            <w:vAlign w:val="center"/>
          </w:tcPr>
          <w:p w14:paraId="33BFCE98">
            <w:pPr>
              <w:pStyle w:val="178"/>
            </w:pPr>
            <w:r>
              <w:rPr>
                <w:rFonts w:hint="eastAsia"/>
              </w:rPr>
              <w:t>档案类型</w:t>
            </w:r>
          </w:p>
        </w:tc>
        <w:tc>
          <w:tcPr>
            <w:tcW w:w="6237" w:type="dxa"/>
            <w:gridSpan w:val="4"/>
            <w:tcBorders>
              <w:top w:val="single" w:color="auto" w:sz="8" w:space="0"/>
              <w:bottom w:val="single" w:color="auto" w:sz="8" w:space="0"/>
            </w:tcBorders>
            <w:shd w:val="clear" w:color="auto" w:fill="auto"/>
            <w:vAlign w:val="center"/>
          </w:tcPr>
          <w:p w14:paraId="0FC4076B">
            <w:pPr>
              <w:pStyle w:val="178"/>
            </w:pPr>
            <w:r>
              <w:rPr>
                <w:rFonts w:hint="eastAsia"/>
              </w:rPr>
              <w:t>保管期限</w:t>
            </w:r>
          </w:p>
        </w:tc>
        <w:tc>
          <w:tcPr>
            <w:tcW w:w="1142" w:type="dxa"/>
            <w:tcBorders>
              <w:top w:val="single" w:color="auto" w:sz="8" w:space="0"/>
              <w:bottom w:val="single" w:color="auto" w:sz="8" w:space="0"/>
            </w:tcBorders>
            <w:shd w:val="clear" w:color="auto" w:fill="auto"/>
            <w:vAlign w:val="center"/>
          </w:tcPr>
          <w:p w14:paraId="23C39D7B">
            <w:pPr>
              <w:pStyle w:val="178"/>
            </w:pPr>
            <w:r>
              <w:rPr>
                <w:rFonts w:hint="eastAsia"/>
              </w:rPr>
              <w:t>备注</w:t>
            </w:r>
          </w:p>
        </w:tc>
      </w:tr>
      <w:tr w14:paraId="174C0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tcBorders>
              <w:top w:val="single" w:color="auto" w:sz="8" w:space="0"/>
            </w:tcBorders>
            <w:shd w:val="clear" w:color="auto" w:fill="auto"/>
            <w:vAlign w:val="center"/>
          </w:tcPr>
          <w:p w14:paraId="58988DAA">
            <w:pPr>
              <w:pStyle w:val="178"/>
            </w:pPr>
            <w:r>
              <w:rPr>
                <w:rFonts w:hint="eastAsia"/>
              </w:rPr>
              <w:t>基础档案</w:t>
            </w:r>
          </w:p>
        </w:tc>
        <w:tc>
          <w:tcPr>
            <w:tcW w:w="6237" w:type="dxa"/>
            <w:gridSpan w:val="4"/>
            <w:tcBorders>
              <w:top w:val="single" w:color="auto" w:sz="8" w:space="0"/>
            </w:tcBorders>
            <w:shd w:val="clear" w:color="auto" w:fill="auto"/>
            <w:vAlign w:val="center"/>
          </w:tcPr>
          <w:p w14:paraId="51562F19">
            <w:pPr>
              <w:pStyle w:val="178"/>
            </w:pPr>
            <w:r>
              <w:rPr>
                <w:rFonts w:hint="eastAsia"/>
              </w:rPr>
              <w:t>每年更新，保留最新</w:t>
            </w:r>
          </w:p>
        </w:tc>
        <w:tc>
          <w:tcPr>
            <w:tcW w:w="1142" w:type="dxa"/>
            <w:tcBorders>
              <w:top w:val="single" w:color="auto" w:sz="8" w:space="0"/>
            </w:tcBorders>
            <w:shd w:val="clear" w:color="auto" w:fill="auto"/>
            <w:vAlign w:val="center"/>
          </w:tcPr>
          <w:p w14:paraId="528D3EE9">
            <w:pPr>
              <w:pStyle w:val="178"/>
            </w:pPr>
          </w:p>
        </w:tc>
      </w:tr>
      <w:tr w14:paraId="2AD37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vMerge w:val="restart"/>
            <w:shd w:val="clear" w:color="auto" w:fill="auto"/>
            <w:vAlign w:val="center"/>
          </w:tcPr>
          <w:p w14:paraId="3EBF07FA">
            <w:pPr>
              <w:pStyle w:val="178"/>
            </w:pPr>
            <w:r>
              <w:rPr>
                <w:rFonts w:hint="eastAsia"/>
              </w:rPr>
              <w:t>评价档案</w:t>
            </w:r>
          </w:p>
        </w:tc>
        <w:tc>
          <w:tcPr>
            <w:tcW w:w="1701" w:type="dxa"/>
            <w:shd w:val="clear" w:color="auto" w:fill="auto"/>
          </w:tcPr>
          <w:p w14:paraId="230906E0">
            <w:pPr>
              <w:pStyle w:val="178"/>
            </w:pPr>
            <w:r>
              <w:rPr>
                <w:rFonts w:hint="eastAsia"/>
              </w:rPr>
              <w:t>内容</w:t>
            </w:r>
          </w:p>
        </w:tc>
        <w:tc>
          <w:tcPr>
            <w:tcW w:w="1417" w:type="dxa"/>
            <w:shd w:val="clear" w:color="auto" w:fill="auto"/>
          </w:tcPr>
          <w:p w14:paraId="268C1ED3">
            <w:pPr>
              <w:pStyle w:val="178"/>
            </w:pPr>
            <w:r>
              <w:rPr>
                <w:rFonts w:hint="eastAsia"/>
              </w:rPr>
              <w:t>预评价</w:t>
            </w:r>
          </w:p>
        </w:tc>
        <w:tc>
          <w:tcPr>
            <w:tcW w:w="1560" w:type="dxa"/>
            <w:shd w:val="clear" w:color="auto" w:fill="auto"/>
          </w:tcPr>
          <w:p w14:paraId="20D453E9">
            <w:pPr>
              <w:pStyle w:val="178"/>
            </w:pPr>
            <w:r>
              <w:rPr>
                <w:rFonts w:hint="eastAsia"/>
              </w:rPr>
              <w:t>验收评价</w:t>
            </w:r>
          </w:p>
        </w:tc>
        <w:tc>
          <w:tcPr>
            <w:tcW w:w="1559" w:type="dxa"/>
            <w:shd w:val="clear" w:color="auto" w:fill="auto"/>
          </w:tcPr>
          <w:p w14:paraId="742358E6">
            <w:pPr>
              <w:pStyle w:val="178"/>
            </w:pPr>
            <w:r>
              <w:rPr>
                <w:rFonts w:hint="eastAsia"/>
              </w:rPr>
              <w:t>现状评价</w:t>
            </w:r>
          </w:p>
        </w:tc>
        <w:tc>
          <w:tcPr>
            <w:tcW w:w="1142" w:type="dxa"/>
            <w:shd w:val="clear" w:color="auto" w:fill="auto"/>
            <w:vAlign w:val="center"/>
          </w:tcPr>
          <w:p w14:paraId="08886865">
            <w:pPr>
              <w:pStyle w:val="178"/>
            </w:pPr>
          </w:p>
        </w:tc>
      </w:tr>
      <w:tr w14:paraId="5FE9A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vMerge w:val="continue"/>
            <w:shd w:val="clear" w:color="auto" w:fill="auto"/>
            <w:vAlign w:val="center"/>
          </w:tcPr>
          <w:p w14:paraId="22A3AE0C">
            <w:pPr>
              <w:pStyle w:val="178"/>
            </w:pPr>
          </w:p>
        </w:tc>
        <w:tc>
          <w:tcPr>
            <w:tcW w:w="1701" w:type="dxa"/>
            <w:shd w:val="clear" w:color="auto" w:fill="auto"/>
          </w:tcPr>
          <w:p w14:paraId="2CE62F3B">
            <w:pPr>
              <w:pStyle w:val="178"/>
            </w:pPr>
            <w:r>
              <w:rPr>
                <w:rFonts w:hint="eastAsia"/>
              </w:rPr>
              <w:t>评价报告</w:t>
            </w:r>
          </w:p>
        </w:tc>
        <w:tc>
          <w:tcPr>
            <w:tcW w:w="1417" w:type="dxa"/>
            <w:shd w:val="clear" w:color="auto" w:fill="auto"/>
          </w:tcPr>
          <w:p w14:paraId="3EAD8337">
            <w:pPr>
              <w:pStyle w:val="178"/>
            </w:pPr>
            <w:r>
              <w:rPr>
                <w:rFonts w:hint="eastAsia"/>
              </w:rPr>
              <w:t>永久</w:t>
            </w:r>
          </w:p>
        </w:tc>
        <w:tc>
          <w:tcPr>
            <w:tcW w:w="1560" w:type="dxa"/>
            <w:shd w:val="clear" w:color="auto" w:fill="auto"/>
          </w:tcPr>
          <w:p w14:paraId="201D7D6A">
            <w:pPr>
              <w:pStyle w:val="178"/>
            </w:pPr>
            <w:r>
              <w:rPr>
                <w:rFonts w:hint="eastAsia"/>
              </w:rPr>
              <w:t>永久</w:t>
            </w:r>
          </w:p>
        </w:tc>
        <w:tc>
          <w:tcPr>
            <w:tcW w:w="1559" w:type="dxa"/>
            <w:shd w:val="clear" w:color="auto" w:fill="auto"/>
          </w:tcPr>
          <w:p w14:paraId="0ED6D4C9">
            <w:pPr>
              <w:pStyle w:val="178"/>
            </w:pPr>
            <w:r>
              <w:rPr>
                <w:rFonts w:hint="eastAsia"/>
              </w:rPr>
              <w:t>永久</w:t>
            </w:r>
          </w:p>
        </w:tc>
        <w:tc>
          <w:tcPr>
            <w:tcW w:w="1142" w:type="dxa"/>
            <w:shd w:val="clear" w:color="auto" w:fill="auto"/>
            <w:vAlign w:val="center"/>
          </w:tcPr>
          <w:p w14:paraId="4D37EC6E">
            <w:pPr>
              <w:pStyle w:val="178"/>
            </w:pPr>
          </w:p>
        </w:tc>
      </w:tr>
      <w:tr w14:paraId="13DE8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vMerge w:val="continue"/>
            <w:shd w:val="clear" w:color="auto" w:fill="auto"/>
            <w:vAlign w:val="center"/>
          </w:tcPr>
          <w:p w14:paraId="35E539E5">
            <w:pPr>
              <w:pStyle w:val="178"/>
            </w:pPr>
          </w:p>
        </w:tc>
        <w:tc>
          <w:tcPr>
            <w:tcW w:w="1701" w:type="dxa"/>
            <w:shd w:val="clear" w:color="auto" w:fill="auto"/>
          </w:tcPr>
          <w:p w14:paraId="03C0360C">
            <w:pPr>
              <w:pStyle w:val="178"/>
            </w:pPr>
            <w:r>
              <w:rPr>
                <w:rFonts w:hint="eastAsia"/>
              </w:rPr>
              <w:t>现场调查原始记录</w:t>
            </w:r>
          </w:p>
        </w:tc>
        <w:tc>
          <w:tcPr>
            <w:tcW w:w="1417" w:type="dxa"/>
            <w:shd w:val="clear" w:color="auto" w:fill="auto"/>
          </w:tcPr>
          <w:p w14:paraId="43819469">
            <w:pPr>
              <w:pStyle w:val="178"/>
            </w:pPr>
            <w:r>
              <w:rPr>
                <w:rFonts w:hint="eastAsia"/>
              </w:rPr>
              <w:t>20年</w:t>
            </w:r>
          </w:p>
        </w:tc>
        <w:tc>
          <w:tcPr>
            <w:tcW w:w="1560" w:type="dxa"/>
            <w:shd w:val="clear" w:color="auto" w:fill="auto"/>
          </w:tcPr>
          <w:p w14:paraId="112E4729">
            <w:pPr>
              <w:pStyle w:val="178"/>
            </w:pPr>
            <w:r>
              <w:rPr>
                <w:rFonts w:hint="eastAsia"/>
              </w:rPr>
              <w:t>20年</w:t>
            </w:r>
          </w:p>
        </w:tc>
        <w:tc>
          <w:tcPr>
            <w:tcW w:w="1559" w:type="dxa"/>
            <w:shd w:val="clear" w:color="auto" w:fill="auto"/>
          </w:tcPr>
          <w:p w14:paraId="0CAB4FB9">
            <w:pPr>
              <w:pStyle w:val="178"/>
            </w:pPr>
            <w:r>
              <w:rPr>
                <w:rFonts w:hint="eastAsia"/>
              </w:rPr>
              <w:t>20年</w:t>
            </w:r>
          </w:p>
        </w:tc>
        <w:tc>
          <w:tcPr>
            <w:tcW w:w="1142" w:type="dxa"/>
            <w:shd w:val="clear" w:color="auto" w:fill="auto"/>
            <w:vAlign w:val="center"/>
          </w:tcPr>
          <w:p w14:paraId="46437DA8">
            <w:pPr>
              <w:pStyle w:val="178"/>
            </w:pPr>
          </w:p>
        </w:tc>
      </w:tr>
      <w:tr w14:paraId="1F0E6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vMerge w:val="continue"/>
            <w:shd w:val="clear" w:color="auto" w:fill="auto"/>
            <w:vAlign w:val="center"/>
          </w:tcPr>
          <w:p w14:paraId="1161C6AE">
            <w:pPr>
              <w:pStyle w:val="178"/>
            </w:pPr>
          </w:p>
        </w:tc>
        <w:tc>
          <w:tcPr>
            <w:tcW w:w="1701" w:type="dxa"/>
            <w:shd w:val="clear" w:color="auto" w:fill="auto"/>
          </w:tcPr>
          <w:p w14:paraId="5A5F15AE">
            <w:pPr>
              <w:pStyle w:val="178"/>
            </w:pPr>
            <w:r>
              <w:rPr>
                <w:rFonts w:hint="eastAsia"/>
              </w:rPr>
              <w:t>其他资料</w:t>
            </w:r>
          </w:p>
        </w:tc>
        <w:tc>
          <w:tcPr>
            <w:tcW w:w="1417" w:type="dxa"/>
            <w:shd w:val="clear" w:color="auto" w:fill="auto"/>
          </w:tcPr>
          <w:p w14:paraId="4A530041">
            <w:pPr>
              <w:pStyle w:val="178"/>
            </w:pPr>
            <w:r>
              <w:rPr>
                <w:rFonts w:hint="eastAsia"/>
              </w:rPr>
              <w:t>10年</w:t>
            </w:r>
          </w:p>
        </w:tc>
        <w:tc>
          <w:tcPr>
            <w:tcW w:w="1560" w:type="dxa"/>
            <w:shd w:val="clear" w:color="auto" w:fill="auto"/>
          </w:tcPr>
          <w:p w14:paraId="639F8B10">
            <w:pPr>
              <w:pStyle w:val="178"/>
            </w:pPr>
            <w:r>
              <w:rPr>
                <w:rFonts w:hint="eastAsia"/>
              </w:rPr>
              <w:t>10年</w:t>
            </w:r>
          </w:p>
        </w:tc>
        <w:tc>
          <w:tcPr>
            <w:tcW w:w="1559" w:type="dxa"/>
            <w:shd w:val="clear" w:color="auto" w:fill="auto"/>
          </w:tcPr>
          <w:p w14:paraId="41AA0D3B">
            <w:pPr>
              <w:pStyle w:val="178"/>
            </w:pPr>
            <w:r>
              <w:rPr>
                <w:rFonts w:hint="eastAsia"/>
              </w:rPr>
              <w:t>10年</w:t>
            </w:r>
          </w:p>
        </w:tc>
        <w:tc>
          <w:tcPr>
            <w:tcW w:w="1142" w:type="dxa"/>
            <w:shd w:val="clear" w:color="auto" w:fill="auto"/>
            <w:vAlign w:val="center"/>
          </w:tcPr>
          <w:p w14:paraId="683475AF">
            <w:pPr>
              <w:pStyle w:val="178"/>
            </w:pPr>
          </w:p>
        </w:tc>
      </w:tr>
      <w:tr w14:paraId="21ED0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shd w:val="clear" w:color="auto" w:fill="auto"/>
            <w:vAlign w:val="center"/>
          </w:tcPr>
          <w:p w14:paraId="187E9F64">
            <w:pPr>
              <w:pStyle w:val="178"/>
            </w:pPr>
            <w:r>
              <w:rPr>
                <w:rFonts w:hint="eastAsia"/>
              </w:rPr>
              <w:t>安全评价师技术档案</w:t>
            </w:r>
          </w:p>
        </w:tc>
        <w:tc>
          <w:tcPr>
            <w:tcW w:w="6237" w:type="dxa"/>
            <w:gridSpan w:val="4"/>
            <w:shd w:val="clear" w:color="auto" w:fill="auto"/>
            <w:vAlign w:val="center"/>
          </w:tcPr>
          <w:p w14:paraId="08D2C3D3">
            <w:pPr>
              <w:pStyle w:val="178"/>
            </w:pPr>
            <w:r>
              <w:rPr>
                <w:rFonts w:hint="eastAsia"/>
              </w:rPr>
              <w:t>每年更新</w:t>
            </w:r>
          </w:p>
        </w:tc>
        <w:tc>
          <w:tcPr>
            <w:tcW w:w="1142" w:type="dxa"/>
            <w:shd w:val="clear" w:color="auto" w:fill="auto"/>
            <w:vAlign w:val="center"/>
          </w:tcPr>
          <w:p w14:paraId="5168240C">
            <w:pPr>
              <w:pStyle w:val="178"/>
            </w:pPr>
          </w:p>
        </w:tc>
      </w:tr>
      <w:tr w14:paraId="3C381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95" w:type="dxa"/>
            <w:tcBorders>
              <w:bottom w:val="single" w:color="auto" w:sz="8" w:space="0"/>
            </w:tcBorders>
            <w:shd w:val="clear" w:color="auto" w:fill="auto"/>
            <w:vAlign w:val="center"/>
          </w:tcPr>
          <w:p w14:paraId="0445EDD1">
            <w:pPr>
              <w:pStyle w:val="178"/>
            </w:pPr>
            <w:r>
              <w:rPr>
                <w:rFonts w:hint="eastAsia"/>
              </w:rPr>
              <w:t>仪器设备档案</w:t>
            </w:r>
          </w:p>
        </w:tc>
        <w:tc>
          <w:tcPr>
            <w:tcW w:w="6237" w:type="dxa"/>
            <w:gridSpan w:val="4"/>
            <w:tcBorders>
              <w:bottom w:val="single" w:color="auto" w:sz="8" w:space="0"/>
            </w:tcBorders>
            <w:shd w:val="clear" w:color="auto" w:fill="auto"/>
            <w:vAlign w:val="center"/>
          </w:tcPr>
          <w:p w14:paraId="46539C0F">
            <w:pPr>
              <w:pStyle w:val="178"/>
            </w:pPr>
            <w:r>
              <w:rPr>
                <w:rFonts w:hint="eastAsia"/>
              </w:rPr>
              <w:t>每年更新</w:t>
            </w:r>
          </w:p>
        </w:tc>
        <w:tc>
          <w:tcPr>
            <w:tcW w:w="1142" w:type="dxa"/>
            <w:tcBorders>
              <w:bottom w:val="single" w:color="auto" w:sz="8" w:space="0"/>
            </w:tcBorders>
            <w:shd w:val="clear" w:color="auto" w:fill="auto"/>
            <w:vAlign w:val="center"/>
          </w:tcPr>
          <w:p w14:paraId="39814598">
            <w:pPr>
              <w:pStyle w:val="178"/>
            </w:pPr>
          </w:p>
        </w:tc>
      </w:tr>
    </w:tbl>
    <w:p w14:paraId="34D78D90">
      <w:pPr>
        <w:pStyle w:val="56"/>
        <w:ind w:firstLine="420"/>
      </w:pPr>
    </w:p>
    <w:p w14:paraId="3A4D5B15">
      <w:pPr>
        <w:pStyle w:val="56"/>
        <w:ind w:firstLine="420"/>
      </w:pPr>
    </w:p>
    <w:p w14:paraId="35C2780F">
      <w:pPr>
        <w:pStyle w:val="56"/>
        <w:ind w:firstLine="420"/>
      </w:pPr>
    </w:p>
    <w:p w14:paraId="343D7F29">
      <w:pPr>
        <w:pStyle w:val="56"/>
        <w:ind w:firstLine="420"/>
      </w:pPr>
    </w:p>
    <w:p w14:paraId="5AE36BD7">
      <w:pPr>
        <w:pStyle w:val="56"/>
        <w:ind w:firstLine="420"/>
        <w:jc w:val="center"/>
      </w:pPr>
      <w:r>
        <w:t>_________________________________</w: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4972">
    <w:pPr>
      <w:pStyle w:val="17"/>
      <w:jc w:val="left"/>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8359">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1FF3">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C0F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509F">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5B72">
    <w:pPr>
      <w:pStyle w:val="61"/>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5F29">
    <w:pPr>
      <w:pStyle w:val="18"/>
      <w:jc w:val="left"/>
      <w:rPr>
        <w:rFonts w:ascii="黑体" w:hAnsi="黑体" w:eastAsia="黑体"/>
        <w:sz w:val="21"/>
        <w:szCs w:val="21"/>
        <w:lang w:val="fr-FR"/>
      </w:rPr>
    </w:pPr>
    <w:r>
      <w:rPr>
        <w:rFonts w:ascii="黑体" w:hAnsi="黑体" w:eastAsia="黑体"/>
        <w:sz w:val="21"/>
        <w:szCs w:val="21"/>
      </w:rPr>
      <w:fldChar w:fldCharType="begin"/>
    </w:r>
    <w:r>
      <w:rPr>
        <w:rFonts w:ascii="黑体" w:hAnsi="黑体" w:eastAsia="黑体"/>
        <w:sz w:val="21"/>
        <w:szCs w:val="21"/>
        <w:lang w:val="fr-FR"/>
      </w:rPr>
      <w:instrText xml:space="preserve"> STYLEREF  </w:instrText>
    </w:r>
    <w:r>
      <w:rPr>
        <w:rFonts w:ascii="黑体" w:hAnsi="黑体" w:eastAsia="黑体"/>
        <w:sz w:val="21"/>
        <w:szCs w:val="21"/>
      </w:rPr>
      <w:instrText xml:space="preserve">标准文件</w:instrText>
    </w:r>
    <w:r>
      <w:rPr>
        <w:rFonts w:ascii="黑体" w:hAnsi="黑体" w:eastAsia="黑体"/>
        <w:sz w:val="21"/>
        <w:szCs w:val="21"/>
        <w:lang w:val="fr-FR"/>
      </w:rPr>
      <w:instrText xml:space="preserve">_</w:instrText>
    </w:r>
    <w:r>
      <w:rPr>
        <w:rFonts w:ascii="黑体" w:hAnsi="黑体" w:eastAsia="黑体"/>
        <w:sz w:val="21"/>
        <w:szCs w:val="21"/>
      </w:rPr>
      <w:instrText xml:space="preserve">文件编号</w:instrText>
    </w:r>
    <w:r>
      <w:rPr>
        <w:rFonts w:ascii="黑体" w:hAnsi="黑体" w:eastAsia="黑体"/>
        <w:sz w:val="21"/>
        <w:szCs w:val="21"/>
        <w:lang w:val="fr-FR"/>
      </w:rPr>
      <w:instrText xml:space="preserve">  \* MERGEFORMAT </w:instrText>
    </w:r>
    <w:r>
      <w:rPr>
        <w:rFonts w:ascii="黑体" w:hAnsi="黑体" w:eastAsia="黑体"/>
        <w:sz w:val="21"/>
        <w:szCs w:val="21"/>
      </w:rPr>
      <w:fldChar w:fldCharType="separate"/>
    </w:r>
    <w:r>
      <w:rPr>
        <w:rFonts w:ascii="黑体" w:hAnsi="黑体" w:eastAsia="黑体"/>
        <w:sz w:val="21"/>
        <w:szCs w:val="21"/>
        <w:lang w:val="fr-FR"/>
      </w:rPr>
      <w:t>DB XX/T XXXX—XXXX</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992"/>
        </w:tabs>
        <w:ind w:left="992"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42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B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0C2D"/>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36B"/>
    <w:rsid w:val="000B6A0B"/>
    <w:rsid w:val="000C07B1"/>
    <w:rsid w:val="000C0F6C"/>
    <w:rsid w:val="000C11DB"/>
    <w:rsid w:val="000C1492"/>
    <w:rsid w:val="000C2FBD"/>
    <w:rsid w:val="000C4B41"/>
    <w:rsid w:val="000C57D6"/>
    <w:rsid w:val="000C6362"/>
    <w:rsid w:val="000C7666"/>
    <w:rsid w:val="000D0A9C"/>
    <w:rsid w:val="000D1795"/>
    <w:rsid w:val="000D1C02"/>
    <w:rsid w:val="000D329A"/>
    <w:rsid w:val="000D4B9C"/>
    <w:rsid w:val="000D4EB6"/>
    <w:rsid w:val="000D753B"/>
    <w:rsid w:val="000E4C9E"/>
    <w:rsid w:val="000E6FD7"/>
    <w:rsid w:val="000E7DAC"/>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BF9"/>
    <w:rsid w:val="001852C9"/>
    <w:rsid w:val="00190087"/>
    <w:rsid w:val="001913C4"/>
    <w:rsid w:val="0019348F"/>
    <w:rsid w:val="00193A07"/>
    <w:rsid w:val="00194C95"/>
    <w:rsid w:val="00195C34"/>
    <w:rsid w:val="00196EF5"/>
    <w:rsid w:val="001A1541"/>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15F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BDA"/>
    <w:rsid w:val="003331E4"/>
    <w:rsid w:val="00336C64"/>
    <w:rsid w:val="00337162"/>
    <w:rsid w:val="0034194F"/>
    <w:rsid w:val="00344605"/>
    <w:rsid w:val="003474AA"/>
    <w:rsid w:val="00350D1D"/>
    <w:rsid w:val="00352C83"/>
    <w:rsid w:val="003615D2"/>
    <w:rsid w:val="00362A5F"/>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7F9F"/>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2AD"/>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68F"/>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E5A"/>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1385"/>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0CF"/>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8B2"/>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8AE"/>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18C"/>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1CA"/>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967"/>
    <w:rsid w:val="00C72410"/>
    <w:rsid w:val="00C7287F"/>
    <w:rsid w:val="00C80982"/>
    <w:rsid w:val="00C80CB8"/>
    <w:rsid w:val="00C819F8"/>
    <w:rsid w:val="00C8248C"/>
    <w:rsid w:val="00C84457"/>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590"/>
    <w:rsid w:val="00DF1961"/>
    <w:rsid w:val="00DF44DE"/>
    <w:rsid w:val="00DF5F11"/>
    <w:rsid w:val="00E01138"/>
    <w:rsid w:val="00E02DFB"/>
    <w:rsid w:val="00E030F9"/>
    <w:rsid w:val="00E0311A"/>
    <w:rsid w:val="00E03138"/>
    <w:rsid w:val="00E06404"/>
    <w:rsid w:val="00E065D2"/>
    <w:rsid w:val="00E11A85"/>
    <w:rsid w:val="00E12495"/>
    <w:rsid w:val="00E15CCD"/>
    <w:rsid w:val="00E17522"/>
    <w:rsid w:val="00E202EF"/>
    <w:rsid w:val="00E210B5"/>
    <w:rsid w:val="00E23D99"/>
    <w:rsid w:val="00E2552F"/>
    <w:rsid w:val="00E3137A"/>
    <w:rsid w:val="00E32CCF"/>
    <w:rsid w:val="00E34A98"/>
    <w:rsid w:val="00E35D1E"/>
    <w:rsid w:val="00E364F9"/>
    <w:rsid w:val="00E365FA"/>
    <w:rsid w:val="00E36789"/>
    <w:rsid w:val="00E4031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582"/>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56CD"/>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0B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uiPriority w:val="0"/>
    <w:rPr>
      <w:b/>
      <w:bCs/>
      <w:kern w:val="44"/>
      <w:sz w:val="44"/>
      <w:szCs w:val="44"/>
    </w:rPr>
  </w:style>
  <w:style w:type="character" w:customStyle="1" w:styleId="35">
    <w:name w:val="标题 2 Char"/>
    <w:link w:val="3"/>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uiPriority w:val="0"/>
    <w:rPr>
      <w:rFonts w:ascii="Arial" w:hAnsi="Arial" w:eastAsia="黑体"/>
      <w:b/>
      <w:bCs/>
      <w:kern w:val="2"/>
      <w:sz w:val="28"/>
      <w:szCs w:val="28"/>
    </w:rPr>
  </w:style>
  <w:style w:type="character" w:customStyle="1" w:styleId="38">
    <w:name w:val="标题 5 Char"/>
    <w:link w:val="6"/>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uiPriority w:val="0"/>
    <w:rPr>
      <w:b/>
      <w:bCs/>
      <w:kern w:val="2"/>
      <w:sz w:val="24"/>
      <w:szCs w:val="24"/>
    </w:rPr>
  </w:style>
  <w:style w:type="character" w:customStyle="1" w:styleId="41">
    <w:name w:val="标题 8 Char"/>
    <w:link w:val="9"/>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kern w:val="2"/>
      <w:sz w:val="21"/>
      <w:szCs w:val="21"/>
    </w:rPr>
  </w:style>
  <w:style w:type="character" w:customStyle="1" w:styleId="48">
    <w:name w:val="标题 Char"/>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E74780B91F45B292F2CBA451DDB709"/>
        <w:style w:val=""/>
        <w:category>
          <w:name w:val="常规"/>
          <w:gallery w:val="placeholder"/>
        </w:category>
        <w:types>
          <w:type w:val="bbPlcHdr"/>
        </w:types>
        <w:behaviors>
          <w:behavior w:val="content"/>
        </w:behaviors>
        <w:description w:val=""/>
        <w:guid w:val="{2AEDC429-D6D8-454C-853A-9E8A6CCE5070}"/>
      </w:docPartPr>
      <w:docPartBody>
        <w:p w14:paraId="7A750DC4">
          <w:pPr>
            <w:pStyle w:val="5"/>
          </w:pPr>
          <w:r>
            <w:rPr>
              <w:rStyle w:val="4"/>
              <w:rFonts w:hint="eastAsia"/>
            </w:rPr>
            <w:t>单击或点击此处输入文字。</w:t>
          </w:r>
        </w:p>
      </w:docPartBody>
    </w:docPart>
    <w:docPart>
      <w:docPartPr>
        <w:name w:val="3B0BE430634344DBA5056C3845FC0916"/>
        <w:style w:val=""/>
        <w:category>
          <w:name w:val="常规"/>
          <w:gallery w:val="placeholder"/>
        </w:category>
        <w:types>
          <w:type w:val="bbPlcHdr"/>
        </w:types>
        <w:behaviors>
          <w:behavior w:val="content"/>
        </w:behaviors>
        <w:description w:val=""/>
        <w:guid w:val="{BB74C2BE-62FC-4A25-9C6E-CD3FFC1023C8}"/>
      </w:docPartPr>
      <w:docPartBody>
        <w:p w14:paraId="268B5EE9">
          <w:pPr>
            <w:pStyle w:val="6"/>
          </w:pPr>
          <w:r>
            <w:rPr>
              <w:rStyle w:val="4"/>
              <w:rFonts w:hint="eastAsia"/>
            </w:rPr>
            <w:t>选择一项。</w:t>
          </w:r>
        </w:p>
      </w:docPartBody>
    </w:docPart>
    <w:docPart>
      <w:docPartPr>
        <w:name w:val="726AE5FA203A4AE1B3E71D6E898D9F80"/>
        <w:style w:val=""/>
        <w:category>
          <w:name w:val="常规"/>
          <w:gallery w:val="placeholder"/>
        </w:category>
        <w:types>
          <w:type w:val="bbPlcHdr"/>
        </w:types>
        <w:behaviors>
          <w:behavior w:val="content"/>
        </w:behaviors>
        <w:description w:val=""/>
        <w:guid w:val="{0B9A0F2F-1316-4504-BA3A-5E43F5152B85}"/>
      </w:docPartPr>
      <w:docPartBody>
        <w:p w14:paraId="66BDBC0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1E"/>
    <w:rsid w:val="002416DB"/>
    <w:rsid w:val="00510A45"/>
    <w:rsid w:val="0052641E"/>
    <w:rsid w:val="006D66AA"/>
    <w:rsid w:val="006F7D1E"/>
    <w:rsid w:val="00E8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BE74780B91F45B292F2CBA451DDB7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B0BE430634344DBA5056C3845FC09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26AE5FA203A4AE1B3E71D6E898D9F8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45D09-A209-4407-9DA4-2048F613676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4526</Words>
  <Characters>4817</Characters>
  <Lines>46</Lines>
  <Paragraphs>13</Paragraphs>
  <TotalTime>4</TotalTime>
  <ScaleCrop>false</ScaleCrop>
  <LinksUpToDate>false</LinksUpToDate>
  <CharactersWithSpaces>5016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2024-11-18T08:45:00Z</dcterms:created>
  <dc:creator>Windows 用户</dc:creator>
  <dc:description>&lt;config cover="true" show_menu="true" version="1.0.0" doctype="SDKXY"&gt;_x000d_
&lt;/config&gt;</dc:description>
  <cp:lastModifiedBy>无一悟</cp:lastModifiedBy>
  <cp:lastPrinted>2020-08-30T10:00:00Z</cp:lastPrinted>
  <dcterms:modified xsi:type="dcterms:W3CDTF">2026-03-02T06:11:02Z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eyJoZGlkIjoiNDE5OTI4NjAxYTQ5NzI1ODBmODc5ZTczOTk1MjlmZmQiLCJ1c2VySWQiOiI1MTk4MTk4MTcifQ==</vt:lpwstr>
  </property>
  <property fmtid="{D5CDD505-2E9C-101B-9397-08002B2CF9AE}" pid="15" name="KSOProductBuildVer">
    <vt:lpwstr>2052-12.1.0.25225</vt:lpwstr>
  </property>
  <property fmtid="{D5CDD505-2E9C-101B-9397-08002B2CF9AE}" pid="16" name="ICV">
    <vt:lpwstr>1240D2B45F804A34A82E63A6EC16D1AD_12</vt:lpwstr>
  </property>
</Properties>
</file>