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00" w:lineRule="exact"/>
        <w:contextualSpacing/>
        <w:jc w:val="both"/>
        <w:rPr>
          <w:rFonts w:ascii="黑体" w:hAnsi="黑体" w:eastAsia="黑体"/>
          <w:bCs/>
          <w:kern w:val="0"/>
          <w:sz w:val="15"/>
          <w:szCs w:val="15"/>
        </w:rPr>
      </w:pPr>
    </w:p>
    <w:p>
      <w:pPr>
        <w:spacing w:line="400" w:lineRule="exact"/>
        <w:ind w:firstLine="1200" w:firstLineChars="300"/>
        <w:jc w:val="both"/>
        <w:rPr>
          <w:rFonts w:eastAsia="方正小标宋简体"/>
          <w:sz w:val="40"/>
          <w:szCs w:val="40"/>
        </w:rPr>
      </w:pPr>
      <w:r>
        <w:rPr>
          <w:rFonts w:hint="eastAsia" w:eastAsia="方正小标宋简体"/>
          <w:sz w:val="40"/>
          <w:szCs w:val="40"/>
          <w:lang w:eastAsia="zh-CN"/>
        </w:rPr>
        <w:t>应急管理厅部门</w:t>
      </w:r>
      <w:bookmarkStart w:id="0" w:name="_GoBack"/>
      <w:bookmarkEnd w:id="0"/>
      <w:r>
        <w:rPr>
          <w:rFonts w:eastAsia="方正小标宋简体"/>
          <w:sz w:val="40"/>
          <w:szCs w:val="40"/>
        </w:rPr>
        <w:t>“证照分离”改革</w:t>
      </w:r>
    </w:p>
    <w:p>
      <w:pPr>
        <w:spacing w:line="400" w:lineRule="exact"/>
        <w:ind w:firstLine="2400" w:firstLineChars="600"/>
        <w:jc w:val="both"/>
        <w:rPr>
          <w:rFonts w:eastAsia="方正小标宋简体"/>
          <w:sz w:val="40"/>
          <w:szCs w:val="40"/>
        </w:rPr>
      </w:pPr>
      <w:r>
        <w:rPr>
          <w:rFonts w:eastAsia="方正小标宋简体"/>
          <w:sz w:val="40"/>
          <w:szCs w:val="40"/>
        </w:rPr>
        <w:t>全覆盖试点事项清单</w:t>
      </w:r>
    </w:p>
    <w:p>
      <w:pPr>
        <w:spacing w:line="400" w:lineRule="exact"/>
        <w:jc w:val="center"/>
        <w:rPr>
          <w:rFonts w:eastAsia="方正小标宋简体"/>
          <w:sz w:val="40"/>
          <w:szCs w:val="40"/>
        </w:rPr>
      </w:pPr>
      <w:r>
        <w:rPr>
          <w:rFonts w:eastAsia="方正小标宋简体"/>
          <w:sz w:val="40"/>
          <w:szCs w:val="40"/>
        </w:rPr>
        <w:t>（中央层面设定，2019年版）</w:t>
      </w:r>
    </w:p>
    <w:p>
      <w:pPr>
        <w:spacing w:line="400" w:lineRule="exact"/>
        <w:jc w:val="center"/>
        <w:rPr>
          <w:rFonts w:eastAsia="方正小标宋简体"/>
          <w:sz w:val="40"/>
          <w:szCs w:val="40"/>
        </w:rPr>
      </w:pPr>
    </w:p>
    <w:tbl>
      <w:tblPr>
        <w:tblStyle w:val="2"/>
        <w:tblW w:w="10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67"/>
        <w:gridCol w:w="851"/>
        <w:gridCol w:w="850"/>
        <w:gridCol w:w="835"/>
        <w:gridCol w:w="850"/>
        <w:gridCol w:w="340"/>
        <w:gridCol w:w="340"/>
        <w:gridCol w:w="340"/>
        <w:gridCol w:w="340"/>
        <w:gridCol w:w="1879"/>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blHeader/>
          <w:jc w:val="center"/>
        </w:trPr>
        <w:tc>
          <w:tcPr>
            <w:tcW w:w="518" w:type="dxa"/>
            <w:vMerge w:val="restart"/>
            <w:noWrap w:val="0"/>
            <w:vAlign w:val="center"/>
          </w:tcPr>
          <w:p>
            <w:pPr>
              <w:widowControl/>
              <w:spacing w:line="200" w:lineRule="exact"/>
              <w:contextualSpacing/>
              <w:jc w:val="center"/>
              <w:rPr>
                <w:rFonts w:ascii="黑体" w:hAnsi="黑体" w:eastAsia="黑体"/>
                <w:bCs/>
                <w:kern w:val="0"/>
                <w:sz w:val="15"/>
                <w:szCs w:val="15"/>
              </w:rPr>
            </w:pPr>
          </w:p>
        </w:tc>
        <w:tc>
          <w:tcPr>
            <w:tcW w:w="567" w:type="dxa"/>
            <w:vMerge w:val="restart"/>
            <w:noWrap w:val="0"/>
            <w:vAlign w:val="center"/>
          </w:tcPr>
          <w:p>
            <w:pPr>
              <w:widowControl/>
              <w:spacing w:line="200" w:lineRule="exact"/>
              <w:contextualSpacing/>
              <w:jc w:val="center"/>
              <w:rPr>
                <w:rFonts w:ascii="黑体" w:hAnsi="黑体" w:eastAsia="黑体"/>
                <w:bCs/>
                <w:kern w:val="0"/>
                <w:sz w:val="15"/>
                <w:szCs w:val="15"/>
              </w:rPr>
            </w:pPr>
            <w:r>
              <w:rPr>
                <w:rFonts w:ascii="黑体" w:hAnsi="黑体" w:eastAsia="黑体"/>
                <w:bCs/>
                <w:kern w:val="0"/>
                <w:sz w:val="15"/>
                <w:szCs w:val="15"/>
              </w:rPr>
              <w:t>主管部门</w:t>
            </w:r>
          </w:p>
        </w:tc>
        <w:tc>
          <w:tcPr>
            <w:tcW w:w="851" w:type="dxa"/>
            <w:vMerge w:val="restart"/>
            <w:noWrap w:val="0"/>
            <w:vAlign w:val="center"/>
          </w:tcPr>
          <w:p>
            <w:pPr>
              <w:widowControl/>
              <w:spacing w:line="200" w:lineRule="exact"/>
              <w:contextualSpacing/>
              <w:jc w:val="center"/>
              <w:rPr>
                <w:rFonts w:ascii="黑体" w:hAnsi="黑体" w:eastAsia="黑体"/>
                <w:bCs/>
                <w:kern w:val="0"/>
                <w:sz w:val="15"/>
                <w:szCs w:val="15"/>
              </w:rPr>
            </w:pPr>
            <w:r>
              <w:rPr>
                <w:rFonts w:ascii="黑体" w:hAnsi="黑体" w:eastAsia="黑体"/>
                <w:bCs/>
                <w:kern w:val="0"/>
                <w:sz w:val="15"/>
                <w:szCs w:val="15"/>
              </w:rPr>
              <w:t>改革</w:t>
            </w:r>
          </w:p>
          <w:p>
            <w:pPr>
              <w:widowControl/>
              <w:spacing w:line="200" w:lineRule="exact"/>
              <w:contextualSpacing/>
              <w:jc w:val="center"/>
              <w:rPr>
                <w:rFonts w:ascii="黑体" w:hAnsi="黑体" w:eastAsia="黑体"/>
                <w:bCs/>
                <w:kern w:val="0"/>
                <w:sz w:val="15"/>
                <w:szCs w:val="15"/>
              </w:rPr>
            </w:pPr>
            <w:r>
              <w:rPr>
                <w:rFonts w:ascii="黑体" w:hAnsi="黑体" w:eastAsia="黑体"/>
                <w:bCs/>
                <w:kern w:val="0"/>
                <w:sz w:val="15"/>
                <w:szCs w:val="15"/>
              </w:rPr>
              <w:t>事项</w:t>
            </w:r>
          </w:p>
        </w:tc>
        <w:tc>
          <w:tcPr>
            <w:tcW w:w="850" w:type="dxa"/>
            <w:vMerge w:val="restart"/>
            <w:noWrap w:val="0"/>
            <w:vAlign w:val="center"/>
          </w:tcPr>
          <w:p>
            <w:pPr>
              <w:widowControl/>
              <w:spacing w:line="200" w:lineRule="exact"/>
              <w:contextualSpacing/>
              <w:jc w:val="center"/>
              <w:rPr>
                <w:rFonts w:ascii="黑体" w:hAnsi="黑体" w:eastAsia="黑体"/>
                <w:bCs/>
                <w:kern w:val="0"/>
                <w:sz w:val="15"/>
                <w:szCs w:val="15"/>
              </w:rPr>
            </w:pPr>
            <w:r>
              <w:rPr>
                <w:rFonts w:ascii="黑体" w:hAnsi="黑体" w:eastAsia="黑体"/>
                <w:bCs/>
                <w:kern w:val="0"/>
                <w:sz w:val="15"/>
                <w:szCs w:val="15"/>
              </w:rPr>
              <w:t>许可证件名称</w:t>
            </w:r>
          </w:p>
        </w:tc>
        <w:tc>
          <w:tcPr>
            <w:tcW w:w="835" w:type="dxa"/>
            <w:vMerge w:val="restart"/>
            <w:noWrap w:val="0"/>
            <w:vAlign w:val="center"/>
          </w:tcPr>
          <w:p>
            <w:pPr>
              <w:widowControl/>
              <w:spacing w:line="200" w:lineRule="exact"/>
              <w:contextualSpacing/>
              <w:jc w:val="center"/>
              <w:rPr>
                <w:rFonts w:ascii="黑体" w:hAnsi="黑体" w:eastAsia="黑体"/>
                <w:bCs/>
                <w:kern w:val="0"/>
                <w:sz w:val="15"/>
                <w:szCs w:val="15"/>
              </w:rPr>
            </w:pPr>
            <w:r>
              <w:rPr>
                <w:rFonts w:ascii="黑体" w:hAnsi="黑体" w:eastAsia="黑体"/>
                <w:bCs/>
                <w:kern w:val="0"/>
                <w:sz w:val="15"/>
                <w:szCs w:val="15"/>
              </w:rPr>
              <w:t>设定依据</w:t>
            </w:r>
          </w:p>
        </w:tc>
        <w:tc>
          <w:tcPr>
            <w:tcW w:w="850" w:type="dxa"/>
            <w:vMerge w:val="restart"/>
            <w:noWrap w:val="0"/>
            <w:vAlign w:val="center"/>
          </w:tcPr>
          <w:p>
            <w:pPr>
              <w:widowControl/>
              <w:spacing w:line="200" w:lineRule="exact"/>
              <w:contextualSpacing/>
              <w:jc w:val="center"/>
              <w:rPr>
                <w:rFonts w:ascii="黑体" w:hAnsi="黑体" w:eastAsia="黑体"/>
                <w:bCs/>
                <w:kern w:val="0"/>
                <w:sz w:val="15"/>
                <w:szCs w:val="15"/>
              </w:rPr>
            </w:pPr>
            <w:r>
              <w:rPr>
                <w:rFonts w:ascii="黑体" w:hAnsi="黑体" w:eastAsia="黑体"/>
                <w:bCs/>
                <w:kern w:val="0"/>
                <w:sz w:val="15"/>
                <w:szCs w:val="15"/>
              </w:rPr>
              <w:t>审批层级和部门</w:t>
            </w:r>
          </w:p>
        </w:tc>
        <w:tc>
          <w:tcPr>
            <w:tcW w:w="1360" w:type="dxa"/>
            <w:gridSpan w:val="4"/>
            <w:noWrap w:val="0"/>
            <w:vAlign w:val="center"/>
          </w:tcPr>
          <w:p>
            <w:pPr>
              <w:widowControl/>
              <w:spacing w:line="200" w:lineRule="exact"/>
              <w:contextualSpacing/>
              <w:jc w:val="center"/>
              <w:rPr>
                <w:rFonts w:ascii="黑体" w:hAnsi="黑体" w:eastAsia="黑体"/>
                <w:bCs/>
                <w:kern w:val="0"/>
                <w:sz w:val="15"/>
                <w:szCs w:val="15"/>
              </w:rPr>
            </w:pPr>
            <w:r>
              <w:rPr>
                <w:rFonts w:ascii="黑体" w:hAnsi="黑体" w:eastAsia="黑体"/>
                <w:bCs/>
                <w:kern w:val="0"/>
                <w:sz w:val="15"/>
                <w:szCs w:val="15"/>
              </w:rPr>
              <w:t>改革方式</w:t>
            </w:r>
          </w:p>
        </w:tc>
        <w:tc>
          <w:tcPr>
            <w:tcW w:w="1879" w:type="dxa"/>
            <w:vMerge w:val="restart"/>
            <w:noWrap w:val="0"/>
            <w:vAlign w:val="center"/>
          </w:tcPr>
          <w:p>
            <w:pPr>
              <w:widowControl/>
              <w:spacing w:line="200" w:lineRule="exact"/>
              <w:contextualSpacing/>
              <w:jc w:val="center"/>
              <w:rPr>
                <w:rFonts w:ascii="黑体" w:hAnsi="黑体" w:eastAsia="黑体"/>
                <w:bCs/>
                <w:kern w:val="0"/>
                <w:sz w:val="15"/>
                <w:szCs w:val="15"/>
              </w:rPr>
            </w:pPr>
            <w:r>
              <w:rPr>
                <w:rFonts w:ascii="黑体" w:hAnsi="黑体" w:eastAsia="黑体"/>
                <w:bCs/>
                <w:kern w:val="0"/>
                <w:sz w:val="15"/>
                <w:szCs w:val="15"/>
              </w:rPr>
              <w:t>具体改革举措</w:t>
            </w:r>
          </w:p>
        </w:tc>
        <w:tc>
          <w:tcPr>
            <w:tcW w:w="2776" w:type="dxa"/>
            <w:vMerge w:val="restart"/>
            <w:noWrap w:val="0"/>
            <w:vAlign w:val="center"/>
          </w:tcPr>
          <w:p>
            <w:pPr>
              <w:widowControl/>
              <w:spacing w:line="200" w:lineRule="exact"/>
              <w:contextualSpacing/>
              <w:jc w:val="center"/>
              <w:rPr>
                <w:rFonts w:ascii="黑体" w:hAnsi="黑体" w:eastAsia="黑体"/>
                <w:bCs/>
                <w:kern w:val="0"/>
                <w:sz w:val="15"/>
                <w:szCs w:val="15"/>
              </w:rPr>
            </w:pPr>
            <w:r>
              <w:rPr>
                <w:rFonts w:ascii="黑体" w:hAnsi="黑体" w:eastAsia="黑体"/>
                <w:bCs/>
                <w:kern w:val="0"/>
                <w:sz w:val="15"/>
                <w:szCs w:val="15"/>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blHeader/>
          <w:jc w:val="center"/>
        </w:trPr>
        <w:tc>
          <w:tcPr>
            <w:tcW w:w="518" w:type="dxa"/>
            <w:vMerge w:val="continue"/>
            <w:noWrap w:val="0"/>
            <w:vAlign w:val="center"/>
          </w:tcPr>
          <w:p>
            <w:pPr>
              <w:widowControl/>
              <w:spacing w:line="200" w:lineRule="exact"/>
              <w:contextualSpacing/>
              <w:jc w:val="center"/>
              <w:rPr>
                <w:b/>
                <w:bCs/>
                <w:kern w:val="0"/>
                <w:sz w:val="15"/>
                <w:szCs w:val="15"/>
              </w:rPr>
            </w:pPr>
          </w:p>
        </w:tc>
        <w:tc>
          <w:tcPr>
            <w:tcW w:w="567" w:type="dxa"/>
            <w:vMerge w:val="continue"/>
            <w:noWrap w:val="0"/>
            <w:vAlign w:val="center"/>
          </w:tcPr>
          <w:p>
            <w:pPr>
              <w:widowControl/>
              <w:spacing w:line="200" w:lineRule="exact"/>
              <w:contextualSpacing/>
              <w:jc w:val="left"/>
              <w:rPr>
                <w:b/>
                <w:bCs/>
                <w:kern w:val="0"/>
                <w:sz w:val="15"/>
                <w:szCs w:val="15"/>
              </w:rPr>
            </w:pPr>
          </w:p>
        </w:tc>
        <w:tc>
          <w:tcPr>
            <w:tcW w:w="851" w:type="dxa"/>
            <w:vMerge w:val="continue"/>
            <w:noWrap w:val="0"/>
            <w:vAlign w:val="center"/>
          </w:tcPr>
          <w:p>
            <w:pPr>
              <w:widowControl/>
              <w:spacing w:line="200" w:lineRule="exact"/>
              <w:contextualSpacing/>
              <w:jc w:val="left"/>
              <w:rPr>
                <w:b/>
                <w:bCs/>
                <w:kern w:val="0"/>
                <w:sz w:val="15"/>
                <w:szCs w:val="15"/>
              </w:rPr>
            </w:pPr>
          </w:p>
        </w:tc>
        <w:tc>
          <w:tcPr>
            <w:tcW w:w="850" w:type="dxa"/>
            <w:vMerge w:val="continue"/>
            <w:noWrap w:val="0"/>
            <w:vAlign w:val="center"/>
          </w:tcPr>
          <w:p>
            <w:pPr>
              <w:widowControl/>
              <w:spacing w:line="200" w:lineRule="exact"/>
              <w:contextualSpacing/>
              <w:jc w:val="left"/>
              <w:rPr>
                <w:b/>
                <w:bCs/>
                <w:kern w:val="0"/>
                <w:sz w:val="15"/>
                <w:szCs w:val="15"/>
              </w:rPr>
            </w:pPr>
          </w:p>
        </w:tc>
        <w:tc>
          <w:tcPr>
            <w:tcW w:w="835" w:type="dxa"/>
            <w:vMerge w:val="continue"/>
            <w:noWrap w:val="0"/>
            <w:vAlign w:val="center"/>
          </w:tcPr>
          <w:p>
            <w:pPr>
              <w:widowControl/>
              <w:spacing w:line="200" w:lineRule="exact"/>
              <w:contextualSpacing/>
              <w:jc w:val="left"/>
              <w:rPr>
                <w:b/>
                <w:bCs/>
                <w:kern w:val="0"/>
                <w:sz w:val="15"/>
                <w:szCs w:val="15"/>
              </w:rPr>
            </w:pPr>
          </w:p>
        </w:tc>
        <w:tc>
          <w:tcPr>
            <w:tcW w:w="850" w:type="dxa"/>
            <w:vMerge w:val="continue"/>
            <w:noWrap w:val="0"/>
            <w:vAlign w:val="center"/>
          </w:tcPr>
          <w:p>
            <w:pPr>
              <w:widowControl/>
              <w:spacing w:line="200" w:lineRule="exact"/>
              <w:contextualSpacing/>
              <w:jc w:val="left"/>
              <w:rPr>
                <w:b/>
                <w:bCs/>
                <w:kern w:val="0"/>
                <w:sz w:val="15"/>
                <w:szCs w:val="15"/>
              </w:rPr>
            </w:pPr>
          </w:p>
        </w:tc>
        <w:tc>
          <w:tcPr>
            <w:tcW w:w="340" w:type="dxa"/>
            <w:noWrap w:val="0"/>
            <w:vAlign w:val="center"/>
          </w:tcPr>
          <w:p>
            <w:pPr>
              <w:widowControl/>
              <w:spacing w:line="200" w:lineRule="exact"/>
              <w:contextualSpacing/>
              <w:jc w:val="center"/>
              <w:rPr>
                <w:bCs/>
                <w:spacing w:val="-16"/>
                <w:kern w:val="0"/>
                <w:sz w:val="15"/>
                <w:szCs w:val="15"/>
              </w:rPr>
            </w:pPr>
            <w:r>
              <w:rPr>
                <w:bCs/>
                <w:spacing w:val="-16"/>
                <w:kern w:val="0"/>
                <w:sz w:val="15"/>
                <w:szCs w:val="15"/>
              </w:rPr>
              <w:t>直接取消审批</w:t>
            </w:r>
          </w:p>
        </w:tc>
        <w:tc>
          <w:tcPr>
            <w:tcW w:w="340" w:type="dxa"/>
            <w:noWrap w:val="0"/>
            <w:vAlign w:val="center"/>
          </w:tcPr>
          <w:p>
            <w:pPr>
              <w:widowControl/>
              <w:spacing w:line="200" w:lineRule="exact"/>
              <w:contextualSpacing/>
              <w:jc w:val="center"/>
              <w:rPr>
                <w:bCs/>
                <w:spacing w:val="-16"/>
                <w:kern w:val="0"/>
                <w:sz w:val="15"/>
                <w:szCs w:val="15"/>
              </w:rPr>
            </w:pPr>
            <w:r>
              <w:rPr>
                <w:bCs/>
                <w:spacing w:val="-16"/>
                <w:kern w:val="0"/>
                <w:sz w:val="15"/>
                <w:szCs w:val="15"/>
              </w:rPr>
              <w:t>审批改为备案</w:t>
            </w:r>
          </w:p>
        </w:tc>
        <w:tc>
          <w:tcPr>
            <w:tcW w:w="340" w:type="dxa"/>
            <w:noWrap w:val="0"/>
            <w:vAlign w:val="center"/>
          </w:tcPr>
          <w:p>
            <w:pPr>
              <w:widowControl/>
              <w:spacing w:line="200" w:lineRule="exact"/>
              <w:contextualSpacing/>
              <w:jc w:val="center"/>
              <w:rPr>
                <w:bCs/>
                <w:spacing w:val="-16"/>
                <w:kern w:val="0"/>
                <w:sz w:val="15"/>
                <w:szCs w:val="15"/>
              </w:rPr>
            </w:pPr>
            <w:r>
              <w:rPr>
                <w:bCs/>
                <w:spacing w:val="-16"/>
                <w:kern w:val="0"/>
                <w:sz w:val="15"/>
                <w:szCs w:val="15"/>
              </w:rPr>
              <w:t>实行告知承诺</w:t>
            </w:r>
          </w:p>
        </w:tc>
        <w:tc>
          <w:tcPr>
            <w:tcW w:w="340" w:type="dxa"/>
            <w:noWrap w:val="0"/>
            <w:vAlign w:val="center"/>
          </w:tcPr>
          <w:p>
            <w:pPr>
              <w:widowControl/>
              <w:spacing w:line="200" w:lineRule="exact"/>
              <w:contextualSpacing/>
              <w:jc w:val="center"/>
              <w:rPr>
                <w:bCs/>
                <w:spacing w:val="-16"/>
                <w:kern w:val="0"/>
                <w:sz w:val="15"/>
                <w:szCs w:val="15"/>
              </w:rPr>
            </w:pPr>
            <w:r>
              <w:rPr>
                <w:bCs/>
                <w:spacing w:val="-16"/>
                <w:kern w:val="0"/>
                <w:sz w:val="15"/>
                <w:szCs w:val="15"/>
              </w:rPr>
              <w:t>优化审批服务</w:t>
            </w:r>
          </w:p>
        </w:tc>
        <w:tc>
          <w:tcPr>
            <w:tcW w:w="1879" w:type="dxa"/>
            <w:vMerge w:val="continue"/>
            <w:noWrap w:val="0"/>
            <w:vAlign w:val="center"/>
          </w:tcPr>
          <w:p>
            <w:pPr>
              <w:widowControl/>
              <w:spacing w:line="200" w:lineRule="exact"/>
              <w:contextualSpacing/>
              <w:jc w:val="left"/>
              <w:rPr>
                <w:b/>
                <w:bCs/>
                <w:kern w:val="0"/>
                <w:sz w:val="15"/>
                <w:szCs w:val="15"/>
              </w:rPr>
            </w:pPr>
          </w:p>
        </w:tc>
        <w:tc>
          <w:tcPr>
            <w:tcW w:w="2776" w:type="dxa"/>
            <w:vMerge w:val="continue"/>
            <w:noWrap w:val="0"/>
            <w:vAlign w:val="center"/>
          </w:tcPr>
          <w:p>
            <w:pPr>
              <w:widowControl/>
              <w:spacing w:line="200" w:lineRule="exact"/>
              <w:contextualSpacing/>
              <w:jc w:val="left"/>
              <w:rPr>
                <w:b/>
                <w:bCs/>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3</w:t>
            </w:r>
          </w:p>
        </w:tc>
        <w:tc>
          <w:tcPr>
            <w:tcW w:w="567" w:type="dxa"/>
            <w:noWrap w:val="0"/>
            <w:vAlign w:val="center"/>
          </w:tcPr>
          <w:p>
            <w:pPr>
              <w:widowControl/>
              <w:spacing w:line="200" w:lineRule="exact"/>
              <w:contextualSpacing/>
              <w:rPr>
                <w:rFonts w:hint="eastAsia"/>
                <w:kern w:val="0"/>
                <w:sz w:val="15"/>
                <w:szCs w:val="15"/>
              </w:rPr>
            </w:pPr>
            <w:r>
              <w:rPr>
                <w:kern w:val="0"/>
                <w:sz w:val="15"/>
                <w:szCs w:val="15"/>
              </w:rPr>
              <w:t>应急</w:t>
            </w:r>
          </w:p>
          <w:p>
            <w:pPr>
              <w:widowControl/>
              <w:spacing w:line="200" w:lineRule="exact"/>
              <w:contextualSpacing/>
              <w:rPr>
                <w:kern w:val="0"/>
                <w:sz w:val="15"/>
                <w:szCs w:val="15"/>
              </w:rPr>
            </w:pP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消防技术服务机构资质审批</w:t>
            </w:r>
          </w:p>
        </w:tc>
        <w:tc>
          <w:tcPr>
            <w:tcW w:w="850" w:type="dxa"/>
            <w:noWrap w:val="0"/>
            <w:vAlign w:val="center"/>
          </w:tcPr>
          <w:p>
            <w:pPr>
              <w:widowControl/>
              <w:spacing w:line="200" w:lineRule="exact"/>
              <w:contextualSpacing/>
              <w:jc w:val="left"/>
              <w:rPr>
                <w:kern w:val="0"/>
                <w:sz w:val="15"/>
                <w:szCs w:val="15"/>
              </w:rPr>
            </w:pPr>
            <w:r>
              <w:rPr>
                <w:kern w:val="0"/>
                <w:sz w:val="15"/>
                <w:szCs w:val="15"/>
              </w:rPr>
              <w:t>消防技术服务机构资质证书</w:t>
            </w:r>
          </w:p>
        </w:tc>
        <w:tc>
          <w:tcPr>
            <w:tcW w:w="835" w:type="dxa"/>
            <w:noWrap w:val="0"/>
            <w:vAlign w:val="center"/>
          </w:tcPr>
          <w:p>
            <w:pPr>
              <w:widowControl/>
              <w:spacing w:line="200" w:lineRule="exact"/>
              <w:contextualSpacing/>
              <w:rPr>
                <w:kern w:val="0"/>
                <w:sz w:val="15"/>
                <w:szCs w:val="15"/>
              </w:rPr>
            </w:pPr>
            <w:r>
              <w:rPr>
                <w:kern w:val="0"/>
                <w:sz w:val="15"/>
                <w:szCs w:val="15"/>
              </w:rPr>
              <w:t>《中华人民共和国消防法》</w:t>
            </w:r>
          </w:p>
        </w:tc>
        <w:tc>
          <w:tcPr>
            <w:tcW w:w="850" w:type="dxa"/>
            <w:noWrap w:val="0"/>
            <w:vAlign w:val="center"/>
          </w:tcPr>
          <w:p>
            <w:pPr>
              <w:widowControl/>
              <w:spacing w:line="200" w:lineRule="exact"/>
              <w:contextualSpacing/>
              <w:jc w:val="left"/>
              <w:rPr>
                <w:kern w:val="0"/>
                <w:sz w:val="15"/>
                <w:szCs w:val="15"/>
              </w:rPr>
            </w:pPr>
            <w:r>
              <w:rPr>
                <w:kern w:val="0"/>
                <w:sz w:val="15"/>
                <w:szCs w:val="15"/>
              </w:rPr>
              <w:t>省级消防救援机构</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1879" w:type="dxa"/>
            <w:noWrap w:val="0"/>
            <w:vAlign w:val="center"/>
          </w:tcPr>
          <w:p>
            <w:pPr>
              <w:widowControl/>
              <w:spacing w:line="200" w:lineRule="exact"/>
              <w:contextualSpacing/>
              <w:rPr>
                <w:kern w:val="0"/>
                <w:sz w:val="15"/>
                <w:szCs w:val="15"/>
              </w:rPr>
            </w:pPr>
            <w:r>
              <w:rPr>
                <w:kern w:val="0"/>
                <w:sz w:val="15"/>
                <w:szCs w:val="15"/>
              </w:rPr>
              <w:t>根据全国人大常委会授权决定，暂时调整适用《中华人民共和国消防法》关于“消防技术服务机构资质审批”的规定，取消审批。</w:t>
            </w:r>
          </w:p>
        </w:tc>
        <w:tc>
          <w:tcPr>
            <w:tcW w:w="2776" w:type="dxa"/>
            <w:noWrap w:val="0"/>
            <w:vAlign w:val="center"/>
          </w:tcPr>
          <w:p>
            <w:pPr>
              <w:widowControl/>
              <w:spacing w:line="200" w:lineRule="exact"/>
              <w:contextualSpacing/>
              <w:rPr>
                <w:kern w:val="0"/>
                <w:sz w:val="15"/>
                <w:szCs w:val="15"/>
              </w:rPr>
            </w:pPr>
            <w:r>
              <w:rPr>
                <w:kern w:val="0"/>
                <w:sz w:val="15"/>
                <w:szCs w:val="15"/>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22</w:t>
            </w:r>
          </w:p>
        </w:tc>
        <w:tc>
          <w:tcPr>
            <w:tcW w:w="567" w:type="dxa"/>
            <w:noWrap w:val="0"/>
            <w:vAlign w:val="center"/>
          </w:tcPr>
          <w:p>
            <w:pPr>
              <w:widowControl/>
              <w:spacing w:line="200" w:lineRule="exact"/>
              <w:contextualSpacing/>
              <w:rPr>
                <w:rFonts w:hint="eastAsia"/>
                <w:kern w:val="0"/>
                <w:sz w:val="15"/>
                <w:szCs w:val="15"/>
              </w:rPr>
            </w:pPr>
            <w:r>
              <w:rPr>
                <w:kern w:val="0"/>
                <w:sz w:val="15"/>
                <w:szCs w:val="15"/>
              </w:rPr>
              <w:t>应急</w:t>
            </w:r>
          </w:p>
          <w:p>
            <w:pPr>
              <w:widowControl/>
              <w:spacing w:line="200" w:lineRule="exact"/>
              <w:contextualSpacing/>
              <w:rPr>
                <w:kern w:val="0"/>
                <w:sz w:val="15"/>
                <w:szCs w:val="15"/>
              </w:rPr>
            </w:pP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公众聚集场所投入使用、营业前消防安全检查</w:t>
            </w:r>
          </w:p>
        </w:tc>
        <w:tc>
          <w:tcPr>
            <w:tcW w:w="850" w:type="dxa"/>
            <w:noWrap w:val="0"/>
            <w:vAlign w:val="center"/>
          </w:tcPr>
          <w:p>
            <w:pPr>
              <w:widowControl/>
              <w:spacing w:line="200" w:lineRule="exact"/>
              <w:contextualSpacing/>
              <w:jc w:val="left"/>
              <w:rPr>
                <w:kern w:val="0"/>
                <w:sz w:val="15"/>
                <w:szCs w:val="15"/>
              </w:rPr>
            </w:pPr>
            <w:r>
              <w:rPr>
                <w:kern w:val="0"/>
                <w:sz w:val="15"/>
                <w:szCs w:val="15"/>
              </w:rPr>
              <w:t>公众聚集场所投入使用、营业前消防安全检查合格证</w:t>
            </w:r>
          </w:p>
        </w:tc>
        <w:tc>
          <w:tcPr>
            <w:tcW w:w="835" w:type="dxa"/>
            <w:noWrap w:val="0"/>
            <w:vAlign w:val="center"/>
          </w:tcPr>
          <w:p>
            <w:pPr>
              <w:widowControl/>
              <w:spacing w:line="200" w:lineRule="exact"/>
              <w:contextualSpacing/>
              <w:rPr>
                <w:kern w:val="0"/>
                <w:sz w:val="15"/>
                <w:szCs w:val="15"/>
              </w:rPr>
            </w:pPr>
            <w:r>
              <w:rPr>
                <w:kern w:val="0"/>
                <w:sz w:val="15"/>
                <w:szCs w:val="15"/>
              </w:rPr>
              <w:t>《中华人民共和国消防法》</w:t>
            </w:r>
          </w:p>
        </w:tc>
        <w:tc>
          <w:tcPr>
            <w:tcW w:w="850" w:type="dxa"/>
            <w:noWrap w:val="0"/>
            <w:vAlign w:val="center"/>
          </w:tcPr>
          <w:p>
            <w:pPr>
              <w:widowControl/>
              <w:spacing w:line="200" w:lineRule="exact"/>
              <w:contextualSpacing/>
              <w:jc w:val="left"/>
              <w:rPr>
                <w:kern w:val="0"/>
                <w:sz w:val="15"/>
                <w:szCs w:val="15"/>
              </w:rPr>
            </w:pPr>
            <w:r>
              <w:rPr>
                <w:kern w:val="0"/>
                <w:sz w:val="15"/>
                <w:szCs w:val="15"/>
              </w:rPr>
              <w:t>设区的市、县级消防救援机构</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1879" w:type="dxa"/>
            <w:noWrap w:val="0"/>
            <w:vAlign w:val="center"/>
          </w:tcPr>
          <w:p>
            <w:pPr>
              <w:widowControl/>
              <w:spacing w:line="200" w:lineRule="exact"/>
              <w:contextualSpacing/>
              <w:rPr>
                <w:kern w:val="0"/>
                <w:sz w:val="15"/>
                <w:szCs w:val="15"/>
              </w:rPr>
            </w:pPr>
            <w:r>
              <w:rPr>
                <w:kern w:val="0"/>
                <w:sz w:val="15"/>
                <w:szCs w:val="15"/>
              </w:rPr>
              <w:t>根据全国人大常委会授权决定，暂时调整适用《中华人民共和国消防法》关于“公众聚集场所投入使用、营业前消防安全检查”的规定，实行告知承诺：1.制定公众聚集场所消防安全标准并向社会公布，提供告知承诺书格式文本。2.当事人承诺符合消防安全标准并提供相关材料的，消防救援机构不再进行实质性审查，当场作出审批决定。</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289</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安全生产检测检验机构资质认可</w:t>
            </w:r>
          </w:p>
        </w:tc>
        <w:tc>
          <w:tcPr>
            <w:tcW w:w="850" w:type="dxa"/>
            <w:noWrap w:val="0"/>
            <w:vAlign w:val="center"/>
          </w:tcPr>
          <w:p>
            <w:pPr>
              <w:widowControl/>
              <w:spacing w:line="200" w:lineRule="exact"/>
              <w:contextualSpacing/>
              <w:jc w:val="left"/>
              <w:rPr>
                <w:kern w:val="0"/>
                <w:sz w:val="15"/>
                <w:szCs w:val="15"/>
              </w:rPr>
            </w:pPr>
            <w:r>
              <w:rPr>
                <w:kern w:val="0"/>
                <w:sz w:val="15"/>
                <w:szCs w:val="15"/>
              </w:rPr>
              <w:t>安全生产检测检验机构资质证书</w:t>
            </w:r>
          </w:p>
        </w:tc>
        <w:tc>
          <w:tcPr>
            <w:tcW w:w="835" w:type="dxa"/>
            <w:noWrap w:val="0"/>
            <w:vAlign w:val="center"/>
          </w:tcPr>
          <w:p>
            <w:pPr>
              <w:widowControl/>
              <w:spacing w:line="200" w:lineRule="exact"/>
              <w:contextualSpacing/>
              <w:rPr>
                <w:kern w:val="0"/>
                <w:sz w:val="15"/>
                <w:szCs w:val="15"/>
              </w:rPr>
            </w:pPr>
            <w:r>
              <w:rPr>
                <w:kern w:val="0"/>
                <w:sz w:val="15"/>
                <w:szCs w:val="15"/>
              </w:rPr>
              <w:t>《中华人民共和国安全生产法》</w:t>
            </w:r>
          </w:p>
        </w:tc>
        <w:tc>
          <w:tcPr>
            <w:tcW w:w="850" w:type="dxa"/>
            <w:noWrap w:val="0"/>
            <w:vAlign w:val="center"/>
          </w:tcPr>
          <w:p>
            <w:pPr>
              <w:widowControl/>
              <w:spacing w:line="200" w:lineRule="exact"/>
              <w:contextualSpacing/>
              <w:jc w:val="left"/>
              <w:rPr>
                <w:kern w:val="0"/>
                <w:sz w:val="15"/>
                <w:szCs w:val="15"/>
              </w:rPr>
            </w:pPr>
            <w:r>
              <w:rPr>
                <w:kern w:val="0"/>
                <w:sz w:val="15"/>
                <w:szCs w:val="15"/>
              </w:rPr>
              <w:t>省级应急管理部门、煤矿安全生产监管部门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行许可申请材料清单管理，不得要求申请人提供清单以外的证明材料。2.不再将安全生产检测检验机构取得法定计量认证作为前置条件。3.推行法定代表人承诺、公司承诺管理，对申请材料真实性、固定资产等实行告知承诺。4.依托有关平台，提供统一信息查询服务，便于机构跨区域从业和属地监管。</w:t>
            </w:r>
          </w:p>
        </w:tc>
        <w:tc>
          <w:tcPr>
            <w:tcW w:w="2776" w:type="dxa"/>
            <w:noWrap w:val="0"/>
            <w:vAlign w:val="center"/>
          </w:tcPr>
          <w:p>
            <w:pPr>
              <w:widowControl/>
              <w:spacing w:line="200" w:lineRule="exact"/>
              <w:contextualSpacing/>
              <w:rPr>
                <w:kern w:val="0"/>
                <w:sz w:val="15"/>
                <w:szCs w:val="15"/>
              </w:rPr>
            </w:pPr>
            <w:r>
              <w:rPr>
                <w:kern w:val="0"/>
                <w:sz w:val="15"/>
                <w:szCs w:val="15"/>
              </w:rPr>
              <w:t>1.制定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发挥行业组织自律作用，完善技术仲裁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290</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安全评价机构资质认可</w:t>
            </w:r>
          </w:p>
        </w:tc>
        <w:tc>
          <w:tcPr>
            <w:tcW w:w="850" w:type="dxa"/>
            <w:noWrap w:val="0"/>
            <w:vAlign w:val="center"/>
          </w:tcPr>
          <w:p>
            <w:pPr>
              <w:widowControl/>
              <w:spacing w:line="200" w:lineRule="exact"/>
              <w:contextualSpacing/>
              <w:jc w:val="left"/>
              <w:rPr>
                <w:kern w:val="0"/>
                <w:sz w:val="15"/>
                <w:szCs w:val="15"/>
              </w:rPr>
            </w:pPr>
            <w:r>
              <w:rPr>
                <w:kern w:val="0"/>
                <w:sz w:val="15"/>
                <w:szCs w:val="15"/>
              </w:rPr>
              <w:t>安全评价机构资质证书</w:t>
            </w:r>
          </w:p>
        </w:tc>
        <w:tc>
          <w:tcPr>
            <w:tcW w:w="835" w:type="dxa"/>
            <w:noWrap w:val="0"/>
            <w:vAlign w:val="center"/>
          </w:tcPr>
          <w:p>
            <w:pPr>
              <w:widowControl/>
              <w:spacing w:line="200" w:lineRule="exact"/>
              <w:contextualSpacing/>
              <w:rPr>
                <w:kern w:val="0"/>
                <w:sz w:val="15"/>
                <w:szCs w:val="15"/>
              </w:rPr>
            </w:pPr>
            <w:r>
              <w:rPr>
                <w:kern w:val="0"/>
                <w:sz w:val="15"/>
                <w:szCs w:val="15"/>
              </w:rPr>
              <w:t>《中华人民共和国安全生产法》</w:t>
            </w:r>
          </w:p>
        </w:tc>
        <w:tc>
          <w:tcPr>
            <w:tcW w:w="850" w:type="dxa"/>
            <w:noWrap w:val="0"/>
            <w:vAlign w:val="center"/>
          </w:tcPr>
          <w:p>
            <w:pPr>
              <w:widowControl/>
              <w:spacing w:line="200" w:lineRule="exact"/>
              <w:contextualSpacing/>
              <w:jc w:val="left"/>
              <w:rPr>
                <w:kern w:val="0"/>
                <w:sz w:val="15"/>
                <w:szCs w:val="15"/>
              </w:rPr>
            </w:pPr>
            <w:r>
              <w:rPr>
                <w:kern w:val="0"/>
                <w:sz w:val="15"/>
                <w:szCs w:val="15"/>
              </w:rPr>
              <w:t>省级应急管理部门、煤矿安全生产监管部门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行许可申请材料清单管理，不得要求申请人提供清单外的证明材料。2.不再要求申请人提供安全评价师、安全工程师等人员资格证明材料，实行联网查询。3.推行法定代表人承诺、公司承诺管理，对申请材料真实性、固定资产、办公面积等实行告知承诺管理。</w:t>
            </w:r>
          </w:p>
        </w:tc>
        <w:tc>
          <w:tcPr>
            <w:tcW w:w="2776" w:type="dxa"/>
            <w:noWrap w:val="0"/>
            <w:vAlign w:val="center"/>
          </w:tcPr>
          <w:p>
            <w:pPr>
              <w:widowControl/>
              <w:spacing w:line="200" w:lineRule="exact"/>
              <w:contextualSpacing/>
              <w:rPr>
                <w:kern w:val="0"/>
                <w:sz w:val="15"/>
                <w:szCs w:val="15"/>
              </w:rPr>
            </w:pPr>
            <w:r>
              <w:rPr>
                <w:kern w:val="0"/>
                <w:sz w:val="15"/>
                <w:szCs w:val="15"/>
              </w:rPr>
              <w:t>1.健全安全评价机构审批工作制度，制定全国统一的机构资质认定标准和执法标准，明确监管管辖权，规范自由裁量权。2.开展“双随机、一公开”监管和信用监管，加强执法监督，对失信主体实行联合惩戒。3.加强对安全评价机构有关信息的共享和公开，接受社会监督。4.发挥行业组织自律作用，完善技术仲裁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291</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跨省运营的石油天然气管道储运分（子）公司安全生产许可</w:t>
            </w:r>
          </w:p>
        </w:tc>
        <w:tc>
          <w:tcPr>
            <w:tcW w:w="850" w:type="dxa"/>
            <w:noWrap w:val="0"/>
            <w:vAlign w:val="center"/>
          </w:tcPr>
          <w:p>
            <w:pPr>
              <w:widowControl/>
              <w:spacing w:line="200" w:lineRule="exact"/>
              <w:contextualSpacing/>
              <w:jc w:val="left"/>
              <w:rPr>
                <w:kern w:val="0"/>
                <w:sz w:val="15"/>
                <w:szCs w:val="15"/>
              </w:rPr>
            </w:pPr>
            <w:r>
              <w:rPr>
                <w:kern w:val="0"/>
                <w:sz w:val="15"/>
                <w:szCs w:val="15"/>
              </w:rPr>
              <w:t>安全生产许可证（危险化学品）</w:t>
            </w:r>
          </w:p>
        </w:tc>
        <w:tc>
          <w:tcPr>
            <w:tcW w:w="835" w:type="dxa"/>
            <w:noWrap w:val="0"/>
            <w:vAlign w:val="center"/>
          </w:tcPr>
          <w:p>
            <w:pPr>
              <w:widowControl/>
              <w:spacing w:line="200" w:lineRule="exact"/>
              <w:contextualSpacing/>
              <w:rPr>
                <w:kern w:val="0"/>
                <w:sz w:val="15"/>
                <w:szCs w:val="15"/>
              </w:rPr>
            </w:pPr>
            <w:r>
              <w:rPr>
                <w:kern w:val="0"/>
                <w:sz w:val="15"/>
                <w:szCs w:val="15"/>
              </w:rPr>
              <w:t>《安全生产许可证条例》</w:t>
            </w:r>
          </w:p>
        </w:tc>
        <w:tc>
          <w:tcPr>
            <w:tcW w:w="850" w:type="dxa"/>
            <w:noWrap w:val="0"/>
            <w:vAlign w:val="center"/>
          </w:tcPr>
          <w:p>
            <w:pPr>
              <w:widowControl/>
              <w:spacing w:line="200" w:lineRule="exact"/>
              <w:contextualSpacing/>
              <w:jc w:val="center"/>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1.暂时调整</w:t>
            </w:r>
            <w:r>
              <w:rPr>
                <w:rFonts w:hint="eastAsia"/>
                <w:kern w:val="0"/>
                <w:sz w:val="15"/>
                <w:szCs w:val="15"/>
              </w:rPr>
              <w:t>适用</w:t>
            </w:r>
            <w:r>
              <w:rPr>
                <w:kern w:val="0"/>
                <w:sz w:val="15"/>
                <w:szCs w:val="15"/>
              </w:rPr>
              <w:t>《安全生产许可证条例》中关于审批权限的规定，将审批权限由应急管理部下放至省级应急管理部门。2.出台陆上油气管道企业安全生产许可证管理办法。</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1.开展“双随机、一公开”监管，发现违法违规行为要依法严查重处并公开结果。2.加强信用监管，向社会公布跨省运营的石油天然气管道储运分（子）公司信用状况，对失信主体开展联合惩戒。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292</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非煤矿矿山企业安全生产许可证核发</w:t>
            </w:r>
          </w:p>
        </w:tc>
        <w:tc>
          <w:tcPr>
            <w:tcW w:w="850" w:type="dxa"/>
            <w:noWrap w:val="0"/>
            <w:vAlign w:val="center"/>
          </w:tcPr>
          <w:p>
            <w:pPr>
              <w:widowControl/>
              <w:spacing w:line="200" w:lineRule="exact"/>
              <w:contextualSpacing/>
              <w:jc w:val="left"/>
              <w:rPr>
                <w:kern w:val="0"/>
                <w:sz w:val="15"/>
                <w:szCs w:val="15"/>
              </w:rPr>
            </w:pPr>
            <w:r>
              <w:rPr>
                <w:kern w:val="0"/>
                <w:sz w:val="15"/>
                <w:szCs w:val="15"/>
              </w:rPr>
              <w:t>安全生产许可证（非煤矿山）</w:t>
            </w:r>
          </w:p>
        </w:tc>
        <w:tc>
          <w:tcPr>
            <w:tcW w:w="835" w:type="dxa"/>
            <w:noWrap w:val="0"/>
            <w:vAlign w:val="center"/>
          </w:tcPr>
          <w:p>
            <w:pPr>
              <w:widowControl/>
              <w:spacing w:line="200" w:lineRule="exact"/>
              <w:contextualSpacing/>
              <w:rPr>
                <w:kern w:val="0"/>
                <w:sz w:val="15"/>
                <w:szCs w:val="15"/>
              </w:rPr>
            </w:pPr>
            <w:r>
              <w:rPr>
                <w:kern w:val="0"/>
                <w:sz w:val="15"/>
                <w:szCs w:val="15"/>
              </w:rPr>
              <w:t>《安全生产许可证条例》</w:t>
            </w:r>
          </w:p>
        </w:tc>
        <w:tc>
          <w:tcPr>
            <w:tcW w:w="850" w:type="dxa"/>
            <w:noWrap w:val="0"/>
            <w:vAlign w:val="center"/>
          </w:tcPr>
          <w:p>
            <w:pPr>
              <w:widowControl/>
              <w:spacing w:line="200" w:lineRule="exact"/>
              <w:contextualSpacing/>
              <w:jc w:val="left"/>
              <w:rPr>
                <w:kern w:val="0"/>
                <w:sz w:val="15"/>
                <w:szCs w:val="15"/>
              </w:rPr>
            </w:pPr>
            <w:r>
              <w:rPr>
                <w:kern w:val="0"/>
                <w:sz w:val="15"/>
                <w:szCs w:val="15"/>
              </w:rPr>
              <w:t>省级应急管理部门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1.实现申请、审批全程网上办理。2.不再要求地质勘探单位提供地质勘查资质证书复印件，不再要求从事爆破作业的金属非金属矿山、地质勘查和采掘施工单位提供爆破作业单位许可证复印件。</w:t>
            </w:r>
          </w:p>
        </w:tc>
        <w:tc>
          <w:tcPr>
            <w:tcW w:w="2776" w:type="dxa"/>
            <w:noWrap w:val="0"/>
            <w:vAlign w:val="center"/>
          </w:tcPr>
          <w:p>
            <w:pPr>
              <w:widowControl/>
              <w:spacing w:line="200" w:lineRule="exact"/>
              <w:contextualSpacing/>
              <w:rPr>
                <w:kern w:val="0"/>
                <w:sz w:val="15"/>
                <w:szCs w:val="15"/>
              </w:rPr>
            </w:pPr>
            <w:r>
              <w:rPr>
                <w:kern w:val="0"/>
                <w:sz w:val="15"/>
                <w:szCs w:val="15"/>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293</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海洋石油天然气企业安全生产许可</w:t>
            </w:r>
          </w:p>
        </w:tc>
        <w:tc>
          <w:tcPr>
            <w:tcW w:w="850" w:type="dxa"/>
            <w:noWrap w:val="0"/>
            <w:vAlign w:val="center"/>
          </w:tcPr>
          <w:p>
            <w:pPr>
              <w:widowControl/>
              <w:spacing w:line="200" w:lineRule="exact"/>
              <w:contextualSpacing/>
              <w:jc w:val="left"/>
              <w:rPr>
                <w:kern w:val="0"/>
                <w:sz w:val="15"/>
                <w:szCs w:val="15"/>
              </w:rPr>
            </w:pPr>
            <w:r>
              <w:rPr>
                <w:kern w:val="0"/>
                <w:sz w:val="15"/>
                <w:szCs w:val="15"/>
              </w:rPr>
              <w:t>安全生产许可证（非煤矿山）</w:t>
            </w:r>
          </w:p>
        </w:tc>
        <w:tc>
          <w:tcPr>
            <w:tcW w:w="835" w:type="dxa"/>
            <w:noWrap w:val="0"/>
            <w:vAlign w:val="center"/>
          </w:tcPr>
          <w:p>
            <w:pPr>
              <w:widowControl/>
              <w:spacing w:line="200" w:lineRule="exact"/>
              <w:contextualSpacing/>
              <w:rPr>
                <w:kern w:val="0"/>
                <w:sz w:val="15"/>
                <w:szCs w:val="15"/>
              </w:rPr>
            </w:pPr>
            <w:r>
              <w:rPr>
                <w:kern w:val="0"/>
                <w:sz w:val="15"/>
                <w:szCs w:val="15"/>
              </w:rPr>
              <w:t>《安全生产许可证条例》</w:t>
            </w:r>
          </w:p>
        </w:tc>
        <w:tc>
          <w:tcPr>
            <w:tcW w:w="850" w:type="dxa"/>
            <w:noWrap w:val="0"/>
            <w:vAlign w:val="center"/>
          </w:tcPr>
          <w:p>
            <w:pPr>
              <w:widowControl/>
              <w:spacing w:line="200" w:lineRule="exact"/>
              <w:contextualSpacing/>
              <w:jc w:val="left"/>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340" w:type="dxa"/>
            <w:noWrap w:val="0"/>
            <w:vAlign w:val="bottom"/>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1.实现申请、审批全程网上办理。2.不再要求申请人提交海洋石油特种设备合格检测报告并取得安全使用证或安全标志。</w:t>
            </w:r>
          </w:p>
        </w:tc>
        <w:tc>
          <w:tcPr>
            <w:tcW w:w="2776" w:type="dxa"/>
            <w:noWrap w:val="0"/>
            <w:vAlign w:val="center"/>
          </w:tcPr>
          <w:p>
            <w:pPr>
              <w:widowControl/>
              <w:spacing w:line="200" w:lineRule="exact"/>
              <w:contextualSpacing/>
              <w:rPr>
                <w:kern w:val="0"/>
                <w:sz w:val="15"/>
                <w:szCs w:val="15"/>
              </w:rPr>
            </w:pPr>
            <w:r>
              <w:rPr>
                <w:kern w:val="0"/>
                <w:sz w:val="15"/>
                <w:szCs w:val="15"/>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w:t>
            </w:r>
            <w:r>
              <w:rPr>
                <w:rFonts w:hint="eastAsia"/>
                <w:kern w:val="0"/>
                <w:sz w:val="15"/>
                <w:szCs w:val="15"/>
              </w:rPr>
              <w:t>企业</w:t>
            </w:r>
            <w:r>
              <w:rPr>
                <w:kern w:val="0"/>
                <w:sz w:val="15"/>
                <w:szCs w:val="15"/>
              </w:rPr>
              <w:t>及其有关人员开展联合惩戒。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294</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烟花爆竹生产企业安全生产许可证核发</w:t>
            </w:r>
          </w:p>
        </w:tc>
        <w:tc>
          <w:tcPr>
            <w:tcW w:w="850" w:type="dxa"/>
            <w:noWrap w:val="0"/>
            <w:vAlign w:val="center"/>
          </w:tcPr>
          <w:p>
            <w:pPr>
              <w:widowControl/>
              <w:spacing w:line="200" w:lineRule="exact"/>
              <w:contextualSpacing/>
              <w:jc w:val="left"/>
              <w:rPr>
                <w:kern w:val="0"/>
                <w:sz w:val="15"/>
                <w:szCs w:val="15"/>
              </w:rPr>
            </w:pPr>
            <w:r>
              <w:rPr>
                <w:kern w:val="0"/>
                <w:sz w:val="15"/>
                <w:szCs w:val="15"/>
              </w:rPr>
              <w:t>烟花爆竹生产企业安全生产许可证</w:t>
            </w:r>
          </w:p>
        </w:tc>
        <w:tc>
          <w:tcPr>
            <w:tcW w:w="835" w:type="dxa"/>
            <w:noWrap w:val="0"/>
            <w:vAlign w:val="center"/>
          </w:tcPr>
          <w:p>
            <w:pPr>
              <w:widowControl/>
              <w:spacing w:line="200" w:lineRule="exact"/>
              <w:contextualSpacing/>
              <w:rPr>
                <w:kern w:val="0"/>
                <w:sz w:val="15"/>
                <w:szCs w:val="15"/>
              </w:rPr>
            </w:pPr>
            <w:r>
              <w:rPr>
                <w:kern w:val="0"/>
                <w:sz w:val="15"/>
                <w:szCs w:val="15"/>
              </w:rPr>
              <w:t>《安全生产许可证条例》</w:t>
            </w:r>
          </w:p>
        </w:tc>
        <w:tc>
          <w:tcPr>
            <w:tcW w:w="850" w:type="dxa"/>
            <w:noWrap w:val="0"/>
            <w:vAlign w:val="center"/>
          </w:tcPr>
          <w:p>
            <w:pPr>
              <w:widowControl/>
              <w:spacing w:line="200" w:lineRule="exact"/>
              <w:contextualSpacing/>
              <w:jc w:val="left"/>
              <w:rPr>
                <w:kern w:val="0"/>
                <w:sz w:val="15"/>
                <w:szCs w:val="15"/>
              </w:rPr>
            </w:pPr>
            <w:r>
              <w:rPr>
                <w:kern w:val="0"/>
                <w:sz w:val="15"/>
                <w:szCs w:val="15"/>
              </w:rPr>
              <w:t>省级应急管理部门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1.实现申请、审批全程网上办理。2.将审批时限由45个工作日压减至30个工作日。</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1.开展“双随机、一公开”监管，发现违法违规行为要依法严查重处并公开结果。2.加强信用监管，向社会公布烟花爆竹生产企业信用状况，对失信主体开展联合惩戒。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295</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烟花爆竹经营（批发）许可证核发</w:t>
            </w:r>
          </w:p>
        </w:tc>
        <w:tc>
          <w:tcPr>
            <w:tcW w:w="850" w:type="dxa"/>
            <w:noWrap w:val="0"/>
            <w:vAlign w:val="center"/>
          </w:tcPr>
          <w:p>
            <w:pPr>
              <w:widowControl/>
              <w:spacing w:line="200" w:lineRule="exact"/>
              <w:contextualSpacing/>
              <w:jc w:val="left"/>
              <w:rPr>
                <w:kern w:val="0"/>
                <w:sz w:val="15"/>
                <w:szCs w:val="15"/>
              </w:rPr>
            </w:pPr>
            <w:r>
              <w:rPr>
                <w:kern w:val="0"/>
                <w:sz w:val="15"/>
                <w:szCs w:val="15"/>
              </w:rPr>
              <w:t>烟花爆竹经营（批发）许可证</w:t>
            </w:r>
          </w:p>
        </w:tc>
        <w:tc>
          <w:tcPr>
            <w:tcW w:w="835" w:type="dxa"/>
            <w:noWrap w:val="0"/>
            <w:vAlign w:val="center"/>
          </w:tcPr>
          <w:p>
            <w:pPr>
              <w:widowControl/>
              <w:spacing w:line="200" w:lineRule="exact"/>
              <w:contextualSpacing/>
              <w:rPr>
                <w:kern w:val="0"/>
                <w:sz w:val="15"/>
                <w:szCs w:val="15"/>
              </w:rPr>
            </w:pPr>
            <w:r>
              <w:rPr>
                <w:kern w:val="0"/>
                <w:sz w:val="15"/>
                <w:szCs w:val="15"/>
              </w:rPr>
              <w:t>《烟花爆竹安全管理条例》</w:t>
            </w:r>
          </w:p>
        </w:tc>
        <w:tc>
          <w:tcPr>
            <w:tcW w:w="850" w:type="dxa"/>
            <w:noWrap w:val="0"/>
            <w:vAlign w:val="center"/>
          </w:tcPr>
          <w:p>
            <w:pPr>
              <w:widowControl/>
              <w:spacing w:line="200" w:lineRule="exact"/>
              <w:contextualSpacing/>
              <w:jc w:val="left"/>
              <w:rPr>
                <w:kern w:val="0"/>
                <w:sz w:val="15"/>
                <w:szCs w:val="15"/>
              </w:rPr>
            </w:pPr>
            <w:r>
              <w:rPr>
                <w:kern w:val="0"/>
                <w:sz w:val="15"/>
                <w:szCs w:val="15"/>
              </w:rPr>
              <w:t>设区的市级应急管理部门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1.实现申请、审批全程网上办理。2.将审批时限由30个工作日压减至20个工作日。</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1.开展“双随机、一公开”监管，发现违法违规行为依法严查重处并公开结果。2.加强信用监管，向社会公布烟花爆竹经营（批发）企业信用状况，对失信主体开展联合惩戒。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296</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烟花爆竹经营（零售）许可证核发</w:t>
            </w:r>
          </w:p>
        </w:tc>
        <w:tc>
          <w:tcPr>
            <w:tcW w:w="850" w:type="dxa"/>
            <w:noWrap w:val="0"/>
            <w:vAlign w:val="center"/>
          </w:tcPr>
          <w:p>
            <w:pPr>
              <w:widowControl/>
              <w:spacing w:line="200" w:lineRule="exact"/>
              <w:contextualSpacing/>
              <w:jc w:val="left"/>
              <w:rPr>
                <w:kern w:val="0"/>
                <w:sz w:val="15"/>
                <w:szCs w:val="15"/>
              </w:rPr>
            </w:pPr>
            <w:r>
              <w:rPr>
                <w:kern w:val="0"/>
                <w:sz w:val="15"/>
                <w:szCs w:val="15"/>
              </w:rPr>
              <w:t>烟花爆竹经营（零售）许可证</w:t>
            </w:r>
          </w:p>
        </w:tc>
        <w:tc>
          <w:tcPr>
            <w:tcW w:w="835" w:type="dxa"/>
            <w:noWrap w:val="0"/>
            <w:vAlign w:val="center"/>
          </w:tcPr>
          <w:p>
            <w:pPr>
              <w:widowControl/>
              <w:spacing w:line="200" w:lineRule="exact"/>
              <w:contextualSpacing/>
              <w:rPr>
                <w:kern w:val="0"/>
                <w:sz w:val="15"/>
                <w:szCs w:val="15"/>
              </w:rPr>
            </w:pPr>
            <w:r>
              <w:rPr>
                <w:kern w:val="0"/>
                <w:sz w:val="15"/>
                <w:szCs w:val="15"/>
              </w:rPr>
              <w:t>《烟花爆竹安全管理条例》</w:t>
            </w:r>
          </w:p>
        </w:tc>
        <w:tc>
          <w:tcPr>
            <w:tcW w:w="850" w:type="dxa"/>
            <w:noWrap w:val="0"/>
            <w:vAlign w:val="center"/>
          </w:tcPr>
          <w:p>
            <w:pPr>
              <w:widowControl/>
              <w:spacing w:line="200" w:lineRule="exact"/>
              <w:contextualSpacing/>
              <w:jc w:val="left"/>
              <w:rPr>
                <w:kern w:val="0"/>
                <w:sz w:val="15"/>
                <w:szCs w:val="15"/>
              </w:rPr>
            </w:pPr>
            <w:r>
              <w:rPr>
                <w:kern w:val="0"/>
                <w:sz w:val="15"/>
                <w:szCs w:val="15"/>
              </w:rPr>
              <w:t>县级应急管理部门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1.实现申请、审批全程网上办理。2.将审批时限20个工作日压减至15个工作日。</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1.开展“双随机、一公开”监管，发现违法违规行为依法严查重处并公开结果。2.加强信用监管，向社会公布烟花爆竹经营（零售）企业信用状况，对失信主体开展联合惩戒。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297</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第一类非药品类易制毒化学品生产许可证核发</w:t>
            </w:r>
          </w:p>
        </w:tc>
        <w:tc>
          <w:tcPr>
            <w:tcW w:w="850" w:type="dxa"/>
            <w:noWrap w:val="0"/>
            <w:vAlign w:val="center"/>
          </w:tcPr>
          <w:p>
            <w:pPr>
              <w:widowControl/>
              <w:spacing w:line="200" w:lineRule="exact"/>
              <w:contextualSpacing/>
              <w:jc w:val="left"/>
              <w:rPr>
                <w:kern w:val="0"/>
                <w:sz w:val="15"/>
                <w:szCs w:val="15"/>
              </w:rPr>
            </w:pPr>
            <w:r>
              <w:rPr>
                <w:kern w:val="0"/>
                <w:sz w:val="15"/>
                <w:szCs w:val="15"/>
              </w:rPr>
              <w:t>第一类非药品类易制毒化学品生产许可证</w:t>
            </w:r>
          </w:p>
        </w:tc>
        <w:tc>
          <w:tcPr>
            <w:tcW w:w="835" w:type="dxa"/>
            <w:noWrap w:val="0"/>
            <w:vAlign w:val="center"/>
          </w:tcPr>
          <w:p>
            <w:pPr>
              <w:widowControl/>
              <w:spacing w:line="200" w:lineRule="exact"/>
              <w:contextualSpacing/>
              <w:rPr>
                <w:kern w:val="0"/>
                <w:sz w:val="15"/>
                <w:szCs w:val="15"/>
              </w:rPr>
            </w:pPr>
            <w:r>
              <w:rPr>
                <w:kern w:val="0"/>
                <w:sz w:val="15"/>
                <w:szCs w:val="15"/>
              </w:rPr>
              <w:t>《易制毒化学品管理条例》</w:t>
            </w:r>
          </w:p>
        </w:tc>
        <w:tc>
          <w:tcPr>
            <w:tcW w:w="850" w:type="dxa"/>
            <w:noWrap w:val="0"/>
            <w:vAlign w:val="center"/>
          </w:tcPr>
          <w:p>
            <w:pPr>
              <w:widowControl/>
              <w:spacing w:line="200" w:lineRule="exact"/>
              <w:contextualSpacing/>
              <w:jc w:val="left"/>
              <w:rPr>
                <w:kern w:val="0"/>
                <w:sz w:val="15"/>
                <w:szCs w:val="15"/>
              </w:rPr>
            </w:pPr>
            <w:r>
              <w:rPr>
                <w:kern w:val="0"/>
                <w:sz w:val="15"/>
                <w:szCs w:val="15"/>
              </w:rPr>
              <w:t>省级应急管理部门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1.实现申请、审批全程网上办理。2.将审批时限由60个工作日压减至40个工作日。</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1.开展“双随机、一公开”监管，发现违法违规行为依法严查重处并公开结果。2.加强信用监管，向社会公布第一类非药品类易制毒化学品生产企业信用状况，对失信主体开展联合惩戒。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298</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第一类非药品类易制毒化学品经营许可证核发</w:t>
            </w:r>
          </w:p>
        </w:tc>
        <w:tc>
          <w:tcPr>
            <w:tcW w:w="850" w:type="dxa"/>
            <w:noWrap w:val="0"/>
            <w:vAlign w:val="center"/>
          </w:tcPr>
          <w:p>
            <w:pPr>
              <w:widowControl/>
              <w:spacing w:line="200" w:lineRule="exact"/>
              <w:contextualSpacing/>
              <w:jc w:val="left"/>
              <w:rPr>
                <w:kern w:val="0"/>
                <w:sz w:val="15"/>
                <w:szCs w:val="15"/>
              </w:rPr>
            </w:pPr>
            <w:r>
              <w:rPr>
                <w:kern w:val="0"/>
                <w:sz w:val="15"/>
                <w:szCs w:val="15"/>
              </w:rPr>
              <w:t>第一类非药品类易制毒化学品经营许可证</w:t>
            </w:r>
          </w:p>
        </w:tc>
        <w:tc>
          <w:tcPr>
            <w:tcW w:w="835" w:type="dxa"/>
            <w:noWrap w:val="0"/>
            <w:vAlign w:val="center"/>
          </w:tcPr>
          <w:p>
            <w:pPr>
              <w:widowControl/>
              <w:spacing w:line="200" w:lineRule="exact"/>
              <w:contextualSpacing/>
              <w:rPr>
                <w:kern w:val="0"/>
                <w:sz w:val="15"/>
                <w:szCs w:val="15"/>
              </w:rPr>
            </w:pPr>
            <w:r>
              <w:rPr>
                <w:kern w:val="0"/>
                <w:sz w:val="15"/>
                <w:szCs w:val="15"/>
              </w:rPr>
              <w:t>《易制毒化学品管理条例》</w:t>
            </w:r>
          </w:p>
        </w:tc>
        <w:tc>
          <w:tcPr>
            <w:tcW w:w="850" w:type="dxa"/>
            <w:noWrap w:val="0"/>
            <w:vAlign w:val="center"/>
          </w:tcPr>
          <w:p>
            <w:pPr>
              <w:widowControl/>
              <w:spacing w:line="200" w:lineRule="exact"/>
              <w:contextualSpacing/>
              <w:jc w:val="left"/>
              <w:rPr>
                <w:kern w:val="0"/>
                <w:sz w:val="15"/>
                <w:szCs w:val="15"/>
              </w:rPr>
            </w:pPr>
            <w:r>
              <w:rPr>
                <w:kern w:val="0"/>
                <w:sz w:val="15"/>
                <w:szCs w:val="15"/>
              </w:rPr>
              <w:t>省级应急管理部门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1.实现申请、审批全程网上办理。2.将审批时限由30个工作日压减至20个工作日。</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1.开展“双随机、一公开”监管，发现违法违规行为依法严查重处并公开结果。2.加强信用监管，向社会公布第一类非药品类易制毒化学品经营企业信用状况，对失信主体开展联合惩戒。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299</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危险化学品生产企业安全生产许可证核发</w:t>
            </w:r>
          </w:p>
        </w:tc>
        <w:tc>
          <w:tcPr>
            <w:tcW w:w="850" w:type="dxa"/>
            <w:noWrap w:val="0"/>
            <w:vAlign w:val="center"/>
          </w:tcPr>
          <w:p>
            <w:pPr>
              <w:widowControl/>
              <w:spacing w:line="200" w:lineRule="exact"/>
              <w:contextualSpacing/>
              <w:jc w:val="left"/>
              <w:rPr>
                <w:kern w:val="0"/>
                <w:sz w:val="15"/>
                <w:szCs w:val="15"/>
              </w:rPr>
            </w:pPr>
            <w:r>
              <w:rPr>
                <w:kern w:val="0"/>
                <w:sz w:val="15"/>
                <w:szCs w:val="15"/>
              </w:rPr>
              <w:t>安全生产许可证（危险化学品）</w:t>
            </w:r>
          </w:p>
        </w:tc>
        <w:tc>
          <w:tcPr>
            <w:tcW w:w="835" w:type="dxa"/>
            <w:noWrap w:val="0"/>
            <w:vAlign w:val="center"/>
          </w:tcPr>
          <w:p>
            <w:pPr>
              <w:widowControl/>
              <w:spacing w:line="200" w:lineRule="exact"/>
              <w:contextualSpacing/>
              <w:rPr>
                <w:kern w:val="0"/>
                <w:sz w:val="15"/>
                <w:szCs w:val="15"/>
              </w:rPr>
            </w:pPr>
            <w:r>
              <w:rPr>
                <w:kern w:val="0"/>
                <w:sz w:val="15"/>
                <w:szCs w:val="15"/>
              </w:rPr>
              <w:t>《危险化学品安全管理条例》</w:t>
            </w:r>
          </w:p>
        </w:tc>
        <w:tc>
          <w:tcPr>
            <w:tcW w:w="850" w:type="dxa"/>
            <w:noWrap w:val="0"/>
            <w:vAlign w:val="center"/>
          </w:tcPr>
          <w:p>
            <w:pPr>
              <w:widowControl/>
              <w:spacing w:line="200" w:lineRule="exact"/>
              <w:contextualSpacing/>
              <w:jc w:val="left"/>
              <w:rPr>
                <w:kern w:val="0"/>
                <w:sz w:val="15"/>
                <w:szCs w:val="15"/>
              </w:rPr>
            </w:pPr>
            <w:r>
              <w:rPr>
                <w:kern w:val="0"/>
                <w:sz w:val="15"/>
                <w:szCs w:val="15"/>
              </w:rPr>
              <w:t>应急部；省、设区的市级应急管理部门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1.实现申请、审批全程网上办理。2.将审批时限由45个工作日压减至30个工作日。</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1.开展“双随机、一公开”监管，发现违法违规行为依法严查重处并公开结果。2.加强信用监管，向社会公布危险化学品生产企业信用状况，对失信主体开展联合惩戒。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300</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危险化学品经营许可证核发</w:t>
            </w:r>
          </w:p>
        </w:tc>
        <w:tc>
          <w:tcPr>
            <w:tcW w:w="850" w:type="dxa"/>
            <w:noWrap w:val="0"/>
            <w:vAlign w:val="center"/>
          </w:tcPr>
          <w:p>
            <w:pPr>
              <w:widowControl/>
              <w:spacing w:line="200" w:lineRule="exact"/>
              <w:contextualSpacing/>
              <w:jc w:val="left"/>
              <w:rPr>
                <w:kern w:val="0"/>
                <w:sz w:val="15"/>
                <w:szCs w:val="15"/>
              </w:rPr>
            </w:pPr>
            <w:r>
              <w:rPr>
                <w:kern w:val="0"/>
                <w:sz w:val="15"/>
                <w:szCs w:val="15"/>
              </w:rPr>
              <w:t>危险化学品经营许可证</w:t>
            </w:r>
          </w:p>
        </w:tc>
        <w:tc>
          <w:tcPr>
            <w:tcW w:w="835" w:type="dxa"/>
            <w:noWrap w:val="0"/>
            <w:vAlign w:val="center"/>
          </w:tcPr>
          <w:p>
            <w:pPr>
              <w:widowControl/>
              <w:spacing w:line="200" w:lineRule="exact"/>
              <w:contextualSpacing/>
              <w:rPr>
                <w:kern w:val="0"/>
                <w:sz w:val="15"/>
                <w:szCs w:val="15"/>
              </w:rPr>
            </w:pPr>
            <w:r>
              <w:rPr>
                <w:kern w:val="0"/>
                <w:sz w:val="15"/>
                <w:szCs w:val="15"/>
              </w:rPr>
              <w:t>《危险化学品安全管理条例》</w:t>
            </w:r>
          </w:p>
        </w:tc>
        <w:tc>
          <w:tcPr>
            <w:tcW w:w="850" w:type="dxa"/>
            <w:noWrap w:val="0"/>
            <w:vAlign w:val="center"/>
          </w:tcPr>
          <w:p>
            <w:pPr>
              <w:widowControl/>
              <w:spacing w:line="200" w:lineRule="exact"/>
              <w:contextualSpacing/>
              <w:jc w:val="left"/>
              <w:rPr>
                <w:kern w:val="0"/>
                <w:sz w:val="15"/>
                <w:szCs w:val="15"/>
              </w:rPr>
            </w:pPr>
            <w:r>
              <w:rPr>
                <w:kern w:val="0"/>
                <w:sz w:val="15"/>
                <w:szCs w:val="15"/>
              </w:rPr>
              <w:t>设区的市、县级应急管理部门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1.实现申请、审批全程网上办理。2.将审批时限由30个工作日压减至20个工作日。</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1.开展“双随机、一公开”监管，发现违法违规行为依法严查重处并公开结果。2.加强信用监管，向社会公布危险化学品经营企业信用状况，对失信主体开展联合惩戒。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301</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危险化学品安全使用许可证核发</w:t>
            </w:r>
          </w:p>
        </w:tc>
        <w:tc>
          <w:tcPr>
            <w:tcW w:w="850" w:type="dxa"/>
            <w:noWrap w:val="0"/>
            <w:vAlign w:val="center"/>
          </w:tcPr>
          <w:p>
            <w:pPr>
              <w:widowControl/>
              <w:spacing w:line="200" w:lineRule="exact"/>
              <w:contextualSpacing/>
              <w:jc w:val="left"/>
              <w:rPr>
                <w:kern w:val="0"/>
                <w:sz w:val="15"/>
                <w:szCs w:val="15"/>
              </w:rPr>
            </w:pPr>
            <w:r>
              <w:rPr>
                <w:kern w:val="0"/>
                <w:sz w:val="15"/>
                <w:szCs w:val="15"/>
              </w:rPr>
              <w:t>危险化学品安全使用许可证</w:t>
            </w:r>
          </w:p>
        </w:tc>
        <w:tc>
          <w:tcPr>
            <w:tcW w:w="835" w:type="dxa"/>
            <w:noWrap w:val="0"/>
            <w:vAlign w:val="center"/>
          </w:tcPr>
          <w:p>
            <w:pPr>
              <w:widowControl/>
              <w:spacing w:line="200" w:lineRule="exact"/>
              <w:contextualSpacing/>
              <w:rPr>
                <w:kern w:val="0"/>
                <w:sz w:val="15"/>
                <w:szCs w:val="15"/>
              </w:rPr>
            </w:pPr>
            <w:r>
              <w:rPr>
                <w:kern w:val="0"/>
                <w:sz w:val="15"/>
                <w:szCs w:val="15"/>
              </w:rPr>
              <w:t>《危险化学品安全管理条例》</w:t>
            </w:r>
          </w:p>
        </w:tc>
        <w:tc>
          <w:tcPr>
            <w:tcW w:w="850" w:type="dxa"/>
            <w:noWrap w:val="0"/>
            <w:vAlign w:val="center"/>
          </w:tcPr>
          <w:p>
            <w:pPr>
              <w:widowControl/>
              <w:spacing w:line="200" w:lineRule="exact"/>
              <w:contextualSpacing/>
              <w:jc w:val="left"/>
              <w:rPr>
                <w:kern w:val="0"/>
                <w:sz w:val="15"/>
                <w:szCs w:val="15"/>
              </w:rPr>
            </w:pPr>
            <w:r>
              <w:rPr>
                <w:kern w:val="0"/>
                <w:sz w:val="15"/>
                <w:szCs w:val="15"/>
              </w:rPr>
              <w:t>设区的市级应急管理部门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1.实现申请、审批全程网上办理。2.将审批时限由45个工作日压减至30个工作日。</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1.开展“双随机、一公开”监管，发现违法违规行为依法严查重处并公开结果。2.加强信用监管，向社会公布危险化学品使用企业信用状况，对失信主体开展联合惩戒。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9" w:hRule="atLeast"/>
          <w:jc w:val="center"/>
        </w:trPr>
        <w:tc>
          <w:tcPr>
            <w:tcW w:w="518" w:type="dxa"/>
            <w:noWrap w:val="0"/>
            <w:vAlign w:val="center"/>
          </w:tcPr>
          <w:p>
            <w:pPr>
              <w:widowControl/>
              <w:spacing w:line="200" w:lineRule="exact"/>
              <w:contextualSpacing/>
              <w:jc w:val="center"/>
              <w:rPr>
                <w:kern w:val="0"/>
                <w:sz w:val="15"/>
                <w:szCs w:val="15"/>
              </w:rPr>
            </w:pPr>
            <w:r>
              <w:rPr>
                <w:kern w:val="0"/>
                <w:sz w:val="15"/>
                <w:szCs w:val="15"/>
              </w:rPr>
              <w:t>302</w:t>
            </w:r>
          </w:p>
        </w:tc>
        <w:tc>
          <w:tcPr>
            <w:tcW w:w="567" w:type="dxa"/>
            <w:noWrap w:val="0"/>
            <w:vAlign w:val="center"/>
          </w:tcPr>
          <w:p>
            <w:pPr>
              <w:widowControl/>
              <w:spacing w:line="200" w:lineRule="exact"/>
              <w:contextualSpacing/>
              <w:rPr>
                <w:kern w:val="0"/>
                <w:sz w:val="15"/>
                <w:szCs w:val="15"/>
              </w:rPr>
            </w:pPr>
            <w:r>
              <w:rPr>
                <w:kern w:val="0"/>
                <w:sz w:val="15"/>
                <w:szCs w:val="15"/>
              </w:rPr>
              <w:t>应急</w:t>
            </w:r>
            <w:r>
              <w:rPr>
                <w:rFonts w:hint="eastAsia"/>
                <w:kern w:val="0"/>
                <w:sz w:val="15"/>
                <w:szCs w:val="15"/>
              </w:rPr>
              <w:t>管理</w:t>
            </w:r>
            <w:r>
              <w:rPr>
                <w:kern w:val="0"/>
                <w:sz w:val="15"/>
                <w:szCs w:val="15"/>
              </w:rPr>
              <w:t>部</w:t>
            </w:r>
          </w:p>
        </w:tc>
        <w:tc>
          <w:tcPr>
            <w:tcW w:w="851" w:type="dxa"/>
            <w:noWrap w:val="0"/>
            <w:vAlign w:val="center"/>
          </w:tcPr>
          <w:p>
            <w:pPr>
              <w:widowControl/>
              <w:spacing w:line="200" w:lineRule="exact"/>
              <w:contextualSpacing/>
              <w:rPr>
                <w:kern w:val="0"/>
                <w:sz w:val="15"/>
                <w:szCs w:val="15"/>
              </w:rPr>
            </w:pPr>
            <w:r>
              <w:rPr>
                <w:kern w:val="0"/>
                <w:sz w:val="15"/>
                <w:szCs w:val="15"/>
              </w:rPr>
              <w:t>新建、改建、扩建生产、储存危险化学品（包括使用长输管道输送危险化学品）建设项目安全条件审查</w:t>
            </w:r>
          </w:p>
        </w:tc>
        <w:tc>
          <w:tcPr>
            <w:tcW w:w="850" w:type="dxa"/>
            <w:noWrap w:val="0"/>
            <w:vAlign w:val="center"/>
          </w:tcPr>
          <w:p>
            <w:pPr>
              <w:widowControl/>
              <w:spacing w:line="200" w:lineRule="exact"/>
              <w:contextualSpacing/>
              <w:jc w:val="left"/>
              <w:rPr>
                <w:kern w:val="0"/>
                <w:sz w:val="15"/>
                <w:szCs w:val="15"/>
              </w:rPr>
            </w:pPr>
            <w:r>
              <w:rPr>
                <w:kern w:val="0"/>
                <w:sz w:val="15"/>
                <w:szCs w:val="15"/>
              </w:rPr>
              <w:t>危险化学品建设项目安全条件审查意见书</w:t>
            </w:r>
          </w:p>
        </w:tc>
        <w:tc>
          <w:tcPr>
            <w:tcW w:w="835" w:type="dxa"/>
            <w:noWrap w:val="0"/>
            <w:vAlign w:val="center"/>
          </w:tcPr>
          <w:p>
            <w:pPr>
              <w:widowControl/>
              <w:spacing w:line="200" w:lineRule="exact"/>
              <w:contextualSpacing/>
              <w:rPr>
                <w:kern w:val="0"/>
                <w:sz w:val="15"/>
                <w:szCs w:val="15"/>
              </w:rPr>
            </w:pPr>
            <w:r>
              <w:rPr>
                <w:kern w:val="0"/>
                <w:sz w:val="15"/>
                <w:szCs w:val="15"/>
              </w:rPr>
              <w:t>《危险化学品安全管理条例》</w:t>
            </w:r>
          </w:p>
        </w:tc>
        <w:tc>
          <w:tcPr>
            <w:tcW w:w="850" w:type="dxa"/>
            <w:noWrap w:val="0"/>
            <w:vAlign w:val="center"/>
          </w:tcPr>
          <w:p>
            <w:pPr>
              <w:widowControl/>
              <w:spacing w:line="200" w:lineRule="exact"/>
              <w:contextualSpacing/>
              <w:jc w:val="left"/>
              <w:rPr>
                <w:kern w:val="0"/>
                <w:sz w:val="15"/>
                <w:szCs w:val="15"/>
              </w:rPr>
            </w:pPr>
            <w:r>
              <w:rPr>
                <w:kern w:val="0"/>
                <w:sz w:val="15"/>
                <w:szCs w:val="15"/>
              </w:rPr>
              <w:t>应急</w:t>
            </w:r>
            <w:r>
              <w:rPr>
                <w:rFonts w:hint="eastAsia"/>
                <w:kern w:val="0"/>
                <w:sz w:val="15"/>
                <w:szCs w:val="15"/>
              </w:rPr>
              <w:t>管理</w:t>
            </w:r>
            <w:r>
              <w:rPr>
                <w:kern w:val="0"/>
                <w:sz w:val="15"/>
                <w:szCs w:val="15"/>
              </w:rPr>
              <w:t>部；省、设区的市级应急管理部门</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　</w:t>
            </w:r>
          </w:p>
        </w:tc>
        <w:tc>
          <w:tcPr>
            <w:tcW w:w="340" w:type="dxa"/>
            <w:noWrap w:val="0"/>
            <w:vAlign w:val="center"/>
          </w:tcPr>
          <w:p>
            <w:pPr>
              <w:widowControl/>
              <w:spacing w:line="200" w:lineRule="exact"/>
              <w:contextualSpacing/>
              <w:jc w:val="center"/>
              <w:rPr>
                <w:kern w:val="0"/>
                <w:sz w:val="15"/>
                <w:szCs w:val="15"/>
              </w:rPr>
            </w:pPr>
            <w:r>
              <w:rPr>
                <w:kern w:val="0"/>
                <w:sz w:val="15"/>
                <w:szCs w:val="15"/>
              </w:rPr>
              <w:t>√</w:t>
            </w:r>
          </w:p>
        </w:tc>
        <w:tc>
          <w:tcPr>
            <w:tcW w:w="1879" w:type="dxa"/>
            <w:noWrap w:val="0"/>
            <w:vAlign w:val="center"/>
          </w:tcPr>
          <w:p>
            <w:pPr>
              <w:widowControl/>
              <w:spacing w:line="200" w:lineRule="exact"/>
              <w:contextualSpacing/>
              <w:rPr>
                <w:kern w:val="0"/>
                <w:sz w:val="15"/>
                <w:szCs w:val="15"/>
              </w:rPr>
            </w:pPr>
            <w:r>
              <w:rPr>
                <w:kern w:val="0"/>
                <w:sz w:val="15"/>
                <w:szCs w:val="15"/>
              </w:rPr>
              <w:t>1.实现申请、审批全程网上办理。2.将审批时限由45个工作日压减至30个工作日。</w:t>
            </w:r>
          </w:p>
        </w:tc>
        <w:tc>
          <w:tcPr>
            <w:tcW w:w="2776" w:type="dxa"/>
            <w:noWrap w:val="0"/>
            <w:vAlign w:val="center"/>
          </w:tcPr>
          <w:p>
            <w:pPr>
              <w:widowControl/>
              <w:spacing w:line="200" w:lineRule="exact"/>
              <w:contextualSpacing/>
              <w:rPr>
                <w:kern w:val="0"/>
                <w:sz w:val="15"/>
                <w:szCs w:val="15"/>
              </w:rPr>
            </w:pPr>
            <w:r>
              <w:rPr>
                <w:kern w:val="0"/>
                <w:sz w:val="15"/>
                <w:szCs w:val="15"/>
              </w:rPr>
              <w:t>1.开展“双随机、一公开”监管，发现违法违规行为依法严查重处并公开结果。2.加强信用监管，对失信主体开展联合惩戒。</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75649"/>
    <w:rsid w:val="3A275649"/>
    <w:rsid w:val="52660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2019-11-28T07:10:00Z</dcterms:created>
  <dc:creator>PC-Only</dc:creator>
  <cp:lastModifiedBy>PC-Only</cp:lastModifiedBy>
  <dcterms:modified xsi:type="dcterms:W3CDTF">2019-11-28T07:25:25Z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