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00" w:lineRule="exact"/>
        <w:contextualSpacing/>
        <w:jc w:val="both"/>
        <w:rPr>
          <w:rFonts w:ascii="黑体" w:hAnsi="黑体" w:eastAsia="黑体"/>
          <w:bCs/>
          <w:kern w:val="0"/>
          <w:sz w:val="15"/>
          <w:szCs w:val="15"/>
        </w:rPr>
      </w:pPr>
    </w:p>
    <w:p>
      <w:pPr>
        <w:spacing w:line="400" w:lineRule="exact"/>
        <w:ind w:firstLine="1200" w:firstLineChars="300"/>
        <w:jc w:val="both"/>
        <w:rPr>
          <w:rFonts w:eastAsia="方正小标宋简体"/>
          <w:sz w:val="40"/>
          <w:szCs w:val="40"/>
        </w:rPr>
      </w:pPr>
      <w:r>
        <w:rPr>
          <w:rFonts w:hint="eastAsia" w:eastAsia="方正小标宋简体"/>
          <w:sz w:val="40"/>
          <w:szCs w:val="40"/>
          <w:lang w:eastAsia="zh-CN"/>
        </w:rPr>
        <w:t>应急管理厅部门</w:t>
      </w:r>
      <w:bookmarkStart w:id="0" w:name="_GoBack"/>
      <w:bookmarkEnd w:id="0"/>
      <w:r>
        <w:rPr>
          <w:rFonts w:eastAsia="方正小标宋简体"/>
          <w:sz w:val="40"/>
          <w:szCs w:val="40"/>
        </w:rPr>
        <w:t>“证照分离”改革</w:t>
      </w:r>
    </w:p>
    <w:p>
      <w:pPr>
        <w:spacing w:line="400" w:lineRule="exact"/>
        <w:ind w:firstLine="2400" w:firstLineChars="600"/>
        <w:jc w:val="both"/>
        <w:rPr>
          <w:rFonts w:eastAsia="方正小标宋简体"/>
          <w:sz w:val="40"/>
          <w:szCs w:val="40"/>
        </w:rPr>
      </w:pPr>
      <w:r>
        <w:rPr>
          <w:rFonts w:eastAsia="方正小标宋简体"/>
          <w:sz w:val="40"/>
          <w:szCs w:val="40"/>
        </w:rPr>
        <w:t>全覆盖试点事项清单</w:t>
      </w:r>
    </w:p>
    <w:p>
      <w:pPr>
        <w:spacing w:line="400" w:lineRule="exact"/>
        <w:jc w:val="center"/>
        <w:rPr>
          <w:rFonts w:eastAsia="方正小标宋简体"/>
          <w:sz w:val="40"/>
          <w:szCs w:val="40"/>
        </w:rPr>
      </w:pPr>
      <w:r>
        <w:rPr>
          <w:rFonts w:eastAsia="方正小标宋简体"/>
          <w:sz w:val="40"/>
          <w:szCs w:val="40"/>
        </w:rPr>
        <w:t>（中央层面设定，2019年版）</w:t>
      </w:r>
    </w:p>
    <w:p>
      <w:pPr>
        <w:spacing w:line="400" w:lineRule="exact"/>
        <w:jc w:val="center"/>
        <w:rPr>
          <w:rFonts w:eastAsia="方正小标宋简体"/>
          <w:sz w:val="40"/>
          <w:szCs w:val="40"/>
        </w:rPr>
      </w:pPr>
    </w:p>
    <w:tbl>
      <w:tblPr>
        <w:tblStyle w:val="2"/>
        <w:tblW w:w="10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567"/>
        <w:gridCol w:w="851"/>
        <w:gridCol w:w="850"/>
        <w:gridCol w:w="835"/>
        <w:gridCol w:w="850"/>
        <w:gridCol w:w="340"/>
        <w:gridCol w:w="340"/>
        <w:gridCol w:w="340"/>
        <w:gridCol w:w="340"/>
        <w:gridCol w:w="1879"/>
        <w:gridCol w:w="2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tblHeader/>
          <w:jc w:val="center"/>
        </w:trPr>
        <w:tc>
          <w:tcPr>
            <w:tcW w:w="518" w:type="dxa"/>
            <w:vMerge w:val="restart"/>
            <w:noWrap w:val="0"/>
            <w:vAlign w:val="center"/>
          </w:tcPr>
          <w:p>
            <w:pPr>
              <w:widowControl/>
              <w:spacing w:line="200" w:lineRule="exact"/>
              <w:contextualSpacing/>
              <w:jc w:val="center"/>
              <w:rPr>
                <w:rFonts w:ascii="黑体" w:hAnsi="黑体" w:eastAsia="黑体"/>
                <w:bCs/>
                <w:kern w:val="0"/>
                <w:sz w:val="15"/>
                <w:szCs w:val="15"/>
              </w:rPr>
            </w:pPr>
          </w:p>
        </w:tc>
        <w:tc>
          <w:tcPr>
            <w:tcW w:w="567" w:type="dxa"/>
            <w:vMerge w:val="restart"/>
            <w:noWrap w:val="0"/>
            <w:vAlign w:val="center"/>
          </w:tcPr>
          <w:p>
            <w:pPr>
              <w:widowControl/>
              <w:spacing w:line="200" w:lineRule="exact"/>
              <w:contextualSpacing/>
              <w:jc w:val="center"/>
              <w:rPr>
                <w:rFonts w:ascii="黑体" w:hAnsi="黑体" w:eastAsia="黑体"/>
                <w:bCs/>
                <w:kern w:val="0"/>
                <w:sz w:val="15"/>
                <w:szCs w:val="15"/>
              </w:rPr>
            </w:pPr>
            <w:r>
              <w:rPr>
                <w:rFonts w:ascii="黑体" w:hAnsi="黑体" w:eastAsia="黑体"/>
                <w:bCs/>
                <w:kern w:val="0"/>
                <w:sz w:val="15"/>
                <w:szCs w:val="15"/>
              </w:rPr>
              <w:t>主管部门</w:t>
            </w:r>
          </w:p>
        </w:tc>
        <w:tc>
          <w:tcPr>
            <w:tcW w:w="851" w:type="dxa"/>
            <w:vMerge w:val="restart"/>
            <w:noWrap w:val="0"/>
            <w:vAlign w:val="center"/>
          </w:tcPr>
          <w:p>
            <w:pPr>
              <w:widowControl/>
              <w:spacing w:line="200" w:lineRule="exact"/>
              <w:contextualSpacing/>
              <w:jc w:val="center"/>
              <w:rPr>
                <w:rFonts w:ascii="黑体" w:hAnsi="黑体" w:eastAsia="黑体"/>
                <w:bCs/>
                <w:kern w:val="0"/>
                <w:sz w:val="15"/>
                <w:szCs w:val="15"/>
              </w:rPr>
            </w:pPr>
            <w:r>
              <w:rPr>
                <w:rFonts w:ascii="黑体" w:hAnsi="黑体" w:eastAsia="黑体"/>
                <w:bCs/>
                <w:kern w:val="0"/>
                <w:sz w:val="15"/>
                <w:szCs w:val="15"/>
              </w:rPr>
              <w:t>改革</w:t>
            </w:r>
          </w:p>
          <w:p>
            <w:pPr>
              <w:widowControl/>
              <w:spacing w:line="200" w:lineRule="exact"/>
              <w:contextualSpacing/>
              <w:jc w:val="center"/>
              <w:rPr>
                <w:rFonts w:ascii="黑体" w:hAnsi="黑体" w:eastAsia="黑体"/>
                <w:bCs/>
                <w:kern w:val="0"/>
                <w:sz w:val="15"/>
                <w:szCs w:val="15"/>
              </w:rPr>
            </w:pPr>
            <w:r>
              <w:rPr>
                <w:rFonts w:ascii="黑体" w:hAnsi="黑体" w:eastAsia="黑体"/>
                <w:bCs/>
                <w:kern w:val="0"/>
                <w:sz w:val="15"/>
                <w:szCs w:val="15"/>
              </w:rPr>
              <w:t>事项</w:t>
            </w:r>
          </w:p>
        </w:tc>
        <w:tc>
          <w:tcPr>
            <w:tcW w:w="850" w:type="dxa"/>
            <w:vMerge w:val="restart"/>
            <w:noWrap w:val="0"/>
            <w:vAlign w:val="center"/>
          </w:tcPr>
          <w:p>
            <w:pPr>
              <w:widowControl/>
              <w:spacing w:line="200" w:lineRule="exact"/>
              <w:contextualSpacing/>
              <w:jc w:val="center"/>
              <w:rPr>
                <w:rFonts w:ascii="黑体" w:hAnsi="黑体" w:eastAsia="黑体"/>
                <w:bCs/>
                <w:kern w:val="0"/>
                <w:sz w:val="15"/>
                <w:szCs w:val="15"/>
              </w:rPr>
            </w:pPr>
            <w:r>
              <w:rPr>
                <w:rFonts w:ascii="黑体" w:hAnsi="黑体" w:eastAsia="黑体"/>
                <w:bCs/>
                <w:kern w:val="0"/>
                <w:sz w:val="15"/>
                <w:szCs w:val="15"/>
              </w:rPr>
              <w:t>许可证件名称</w:t>
            </w:r>
          </w:p>
        </w:tc>
        <w:tc>
          <w:tcPr>
            <w:tcW w:w="835" w:type="dxa"/>
            <w:vMerge w:val="restart"/>
            <w:noWrap w:val="0"/>
            <w:vAlign w:val="center"/>
          </w:tcPr>
          <w:p>
            <w:pPr>
              <w:widowControl/>
              <w:spacing w:line="200" w:lineRule="exact"/>
              <w:contextualSpacing/>
              <w:jc w:val="center"/>
              <w:rPr>
                <w:rFonts w:ascii="黑体" w:hAnsi="黑体" w:eastAsia="黑体"/>
                <w:bCs/>
                <w:kern w:val="0"/>
                <w:sz w:val="15"/>
                <w:szCs w:val="15"/>
              </w:rPr>
            </w:pPr>
            <w:r>
              <w:rPr>
                <w:rFonts w:ascii="黑体" w:hAnsi="黑体" w:eastAsia="黑体"/>
                <w:bCs/>
                <w:kern w:val="0"/>
                <w:sz w:val="15"/>
                <w:szCs w:val="15"/>
              </w:rPr>
              <w:t>设定依据</w:t>
            </w:r>
          </w:p>
        </w:tc>
        <w:tc>
          <w:tcPr>
            <w:tcW w:w="850" w:type="dxa"/>
            <w:vMerge w:val="restart"/>
            <w:noWrap w:val="0"/>
            <w:vAlign w:val="center"/>
          </w:tcPr>
          <w:p>
            <w:pPr>
              <w:widowControl/>
              <w:spacing w:line="200" w:lineRule="exact"/>
              <w:contextualSpacing/>
              <w:jc w:val="center"/>
              <w:rPr>
                <w:rFonts w:ascii="黑体" w:hAnsi="黑体" w:eastAsia="黑体"/>
                <w:bCs/>
                <w:kern w:val="0"/>
                <w:sz w:val="15"/>
                <w:szCs w:val="15"/>
              </w:rPr>
            </w:pPr>
            <w:r>
              <w:rPr>
                <w:rFonts w:ascii="黑体" w:hAnsi="黑体" w:eastAsia="黑体"/>
                <w:bCs/>
                <w:kern w:val="0"/>
                <w:sz w:val="15"/>
                <w:szCs w:val="15"/>
              </w:rPr>
              <w:t>审批层级和部门</w:t>
            </w:r>
          </w:p>
        </w:tc>
        <w:tc>
          <w:tcPr>
            <w:tcW w:w="1360" w:type="dxa"/>
            <w:gridSpan w:val="4"/>
            <w:noWrap w:val="0"/>
            <w:vAlign w:val="center"/>
          </w:tcPr>
          <w:p>
            <w:pPr>
              <w:widowControl/>
              <w:spacing w:line="200" w:lineRule="exact"/>
              <w:contextualSpacing/>
              <w:jc w:val="center"/>
              <w:rPr>
                <w:rFonts w:ascii="黑体" w:hAnsi="黑体" w:eastAsia="黑体"/>
                <w:bCs/>
                <w:kern w:val="0"/>
                <w:sz w:val="15"/>
                <w:szCs w:val="15"/>
              </w:rPr>
            </w:pPr>
            <w:r>
              <w:rPr>
                <w:rFonts w:ascii="黑体" w:hAnsi="黑体" w:eastAsia="黑体"/>
                <w:bCs/>
                <w:kern w:val="0"/>
                <w:sz w:val="15"/>
                <w:szCs w:val="15"/>
              </w:rPr>
              <w:t>改革方式</w:t>
            </w:r>
          </w:p>
        </w:tc>
        <w:tc>
          <w:tcPr>
            <w:tcW w:w="1879" w:type="dxa"/>
            <w:vMerge w:val="restart"/>
            <w:noWrap w:val="0"/>
            <w:vAlign w:val="center"/>
          </w:tcPr>
          <w:p>
            <w:pPr>
              <w:widowControl/>
              <w:spacing w:line="200" w:lineRule="exact"/>
              <w:contextualSpacing/>
              <w:jc w:val="center"/>
              <w:rPr>
                <w:rFonts w:ascii="黑体" w:hAnsi="黑体" w:eastAsia="黑体"/>
                <w:bCs/>
                <w:kern w:val="0"/>
                <w:sz w:val="15"/>
                <w:szCs w:val="15"/>
              </w:rPr>
            </w:pPr>
            <w:r>
              <w:rPr>
                <w:rFonts w:ascii="黑体" w:hAnsi="黑体" w:eastAsia="黑体"/>
                <w:bCs/>
                <w:kern w:val="0"/>
                <w:sz w:val="15"/>
                <w:szCs w:val="15"/>
              </w:rPr>
              <w:t>具体改革举措</w:t>
            </w:r>
          </w:p>
        </w:tc>
        <w:tc>
          <w:tcPr>
            <w:tcW w:w="2776" w:type="dxa"/>
            <w:vMerge w:val="restart"/>
            <w:noWrap w:val="0"/>
            <w:vAlign w:val="center"/>
          </w:tcPr>
          <w:p>
            <w:pPr>
              <w:widowControl/>
              <w:spacing w:line="200" w:lineRule="exact"/>
              <w:contextualSpacing/>
              <w:jc w:val="center"/>
              <w:rPr>
                <w:rFonts w:ascii="黑体" w:hAnsi="黑体" w:eastAsia="黑体"/>
                <w:bCs/>
                <w:kern w:val="0"/>
                <w:sz w:val="15"/>
                <w:szCs w:val="15"/>
              </w:rPr>
            </w:pPr>
            <w:r>
              <w:rPr>
                <w:rFonts w:ascii="黑体" w:hAnsi="黑体" w:eastAsia="黑体"/>
                <w:bCs/>
                <w:kern w:val="0"/>
                <w:sz w:val="15"/>
                <w:szCs w:val="15"/>
              </w:rPr>
              <w:t>加强事中事后监管措施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tblHeader/>
          <w:jc w:val="center"/>
        </w:trPr>
        <w:tc>
          <w:tcPr>
            <w:tcW w:w="518" w:type="dxa"/>
            <w:vMerge w:val="continue"/>
            <w:noWrap w:val="0"/>
            <w:vAlign w:val="center"/>
          </w:tcPr>
          <w:p>
            <w:pPr>
              <w:widowControl/>
              <w:spacing w:line="200" w:lineRule="exact"/>
              <w:contextualSpacing/>
              <w:jc w:val="center"/>
              <w:rPr>
                <w:b/>
                <w:bCs/>
                <w:kern w:val="0"/>
                <w:sz w:val="15"/>
                <w:szCs w:val="15"/>
              </w:rPr>
            </w:pPr>
          </w:p>
        </w:tc>
        <w:tc>
          <w:tcPr>
            <w:tcW w:w="567" w:type="dxa"/>
            <w:vMerge w:val="continue"/>
            <w:noWrap w:val="0"/>
            <w:vAlign w:val="center"/>
          </w:tcPr>
          <w:p>
            <w:pPr>
              <w:widowControl/>
              <w:spacing w:line="200" w:lineRule="exact"/>
              <w:contextualSpacing/>
              <w:jc w:val="left"/>
              <w:rPr>
                <w:b/>
                <w:bCs/>
                <w:kern w:val="0"/>
                <w:sz w:val="15"/>
                <w:szCs w:val="15"/>
              </w:rPr>
            </w:pPr>
          </w:p>
        </w:tc>
        <w:tc>
          <w:tcPr>
            <w:tcW w:w="851" w:type="dxa"/>
            <w:vMerge w:val="continue"/>
            <w:noWrap w:val="0"/>
            <w:vAlign w:val="center"/>
          </w:tcPr>
          <w:p>
            <w:pPr>
              <w:widowControl/>
              <w:spacing w:line="200" w:lineRule="exact"/>
              <w:contextualSpacing/>
              <w:jc w:val="left"/>
              <w:rPr>
                <w:b/>
                <w:bCs/>
                <w:kern w:val="0"/>
                <w:sz w:val="15"/>
                <w:szCs w:val="15"/>
              </w:rPr>
            </w:pPr>
          </w:p>
        </w:tc>
        <w:tc>
          <w:tcPr>
            <w:tcW w:w="850" w:type="dxa"/>
            <w:vMerge w:val="continue"/>
            <w:noWrap w:val="0"/>
            <w:vAlign w:val="center"/>
          </w:tcPr>
          <w:p>
            <w:pPr>
              <w:widowControl/>
              <w:spacing w:line="200" w:lineRule="exact"/>
              <w:contextualSpacing/>
              <w:jc w:val="left"/>
              <w:rPr>
                <w:b/>
                <w:bCs/>
                <w:kern w:val="0"/>
                <w:sz w:val="15"/>
                <w:szCs w:val="15"/>
              </w:rPr>
            </w:pPr>
          </w:p>
        </w:tc>
        <w:tc>
          <w:tcPr>
            <w:tcW w:w="835" w:type="dxa"/>
            <w:vMerge w:val="continue"/>
            <w:noWrap w:val="0"/>
            <w:vAlign w:val="center"/>
          </w:tcPr>
          <w:p>
            <w:pPr>
              <w:widowControl/>
              <w:spacing w:line="200" w:lineRule="exact"/>
              <w:contextualSpacing/>
              <w:jc w:val="left"/>
              <w:rPr>
                <w:b/>
                <w:bCs/>
                <w:kern w:val="0"/>
                <w:sz w:val="15"/>
                <w:szCs w:val="15"/>
              </w:rPr>
            </w:pPr>
          </w:p>
        </w:tc>
        <w:tc>
          <w:tcPr>
            <w:tcW w:w="850" w:type="dxa"/>
            <w:vMerge w:val="continue"/>
            <w:noWrap w:val="0"/>
            <w:vAlign w:val="center"/>
          </w:tcPr>
          <w:p>
            <w:pPr>
              <w:widowControl/>
              <w:spacing w:line="200" w:lineRule="exact"/>
              <w:contextualSpacing/>
              <w:jc w:val="left"/>
              <w:rPr>
                <w:b/>
                <w:bCs/>
                <w:kern w:val="0"/>
                <w:sz w:val="15"/>
                <w:szCs w:val="15"/>
              </w:rPr>
            </w:pPr>
          </w:p>
        </w:tc>
        <w:tc>
          <w:tcPr>
            <w:tcW w:w="340" w:type="dxa"/>
            <w:noWrap w:val="0"/>
            <w:vAlign w:val="center"/>
          </w:tcPr>
          <w:p>
            <w:pPr>
              <w:widowControl/>
              <w:spacing w:line="200" w:lineRule="exact"/>
              <w:contextualSpacing/>
              <w:jc w:val="center"/>
              <w:rPr>
                <w:bCs/>
                <w:spacing w:val="-16"/>
                <w:kern w:val="0"/>
                <w:sz w:val="15"/>
                <w:szCs w:val="15"/>
              </w:rPr>
            </w:pPr>
            <w:r>
              <w:rPr>
                <w:bCs/>
                <w:spacing w:val="-16"/>
                <w:kern w:val="0"/>
                <w:sz w:val="15"/>
                <w:szCs w:val="15"/>
              </w:rPr>
              <w:t>直接取消审批</w:t>
            </w:r>
          </w:p>
        </w:tc>
        <w:tc>
          <w:tcPr>
            <w:tcW w:w="340" w:type="dxa"/>
            <w:noWrap w:val="0"/>
            <w:vAlign w:val="center"/>
          </w:tcPr>
          <w:p>
            <w:pPr>
              <w:widowControl/>
              <w:spacing w:line="200" w:lineRule="exact"/>
              <w:contextualSpacing/>
              <w:jc w:val="center"/>
              <w:rPr>
                <w:bCs/>
                <w:spacing w:val="-16"/>
                <w:kern w:val="0"/>
                <w:sz w:val="15"/>
                <w:szCs w:val="15"/>
              </w:rPr>
            </w:pPr>
            <w:r>
              <w:rPr>
                <w:bCs/>
                <w:spacing w:val="-16"/>
                <w:kern w:val="0"/>
                <w:sz w:val="15"/>
                <w:szCs w:val="15"/>
              </w:rPr>
              <w:t>审批改为备案</w:t>
            </w:r>
          </w:p>
        </w:tc>
        <w:tc>
          <w:tcPr>
            <w:tcW w:w="340" w:type="dxa"/>
            <w:noWrap w:val="0"/>
            <w:vAlign w:val="center"/>
          </w:tcPr>
          <w:p>
            <w:pPr>
              <w:widowControl/>
              <w:spacing w:line="200" w:lineRule="exact"/>
              <w:contextualSpacing/>
              <w:jc w:val="center"/>
              <w:rPr>
                <w:bCs/>
                <w:spacing w:val="-16"/>
                <w:kern w:val="0"/>
                <w:sz w:val="15"/>
                <w:szCs w:val="15"/>
              </w:rPr>
            </w:pPr>
            <w:r>
              <w:rPr>
                <w:bCs/>
                <w:spacing w:val="-16"/>
                <w:kern w:val="0"/>
                <w:sz w:val="15"/>
                <w:szCs w:val="15"/>
              </w:rPr>
              <w:t>实行告知承诺</w:t>
            </w:r>
          </w:p>
        </w:tc>
        <w:tc>
          <w:tcPr>
            <w:tcW w:w="340" w:type="dxa"/>
            <w:noWrap w:val="0"/>
            <w:vAlign w:val="center"/>
          </w:tcPr>
          <w:p>
            <w:pPr>
              <w:widowControl/>
              <w:spacing w:line="200" w:lineRule="exact"/>
              <w:contextualSpacing/>
              <w:jc w:val="center"/>
              <w:rPr>
                <w:bCs/>
                <w:spacing w:val="-16"/>
                <w:kern w:val="0"/>
                <w:sz w:val="15"/>
                <w:szCs w:val="15"/>
              </w:rPr>
            </w:pPr>
            <w:r>
              <w:rPr>
                <w:bCs/>
                <w:spacing w:val="-16"/>
                <w:kern w:val="0"/>
                <w:sz w:val="15"/>
                <w:szCs w:val="15"/>
              </w:rPr>
              <w:t>优化审批服务</w:t>
            </w:r>
          </w:p>
        </w:tc>
        <w:tc>
          <w:tcPr>
            <w:tcW w:w="1879" w:type="dxa"/>
            <w:vMerge w:val="continue"/>
            <w:noWrap w:val="0"/>
            <w:vAlign w:val="center"/>
          </w:tcPr>
          <w:p>
            <w:pPr>
              <w:widowControl/>
              <w:spacing w:line="200" w:lineRule="exact"/>
              <w:contextualSpacing/>
              <w:jc w:val="left"/>
              <w:rPr>
                <w:b/>
                <w:bCs/>
                <w:kern w:val="0"/>
                <w:sz w:val="15"/>
                <w:szCs w:val="15"/>
              </w:rPr>
            </w:pPr>
          </w:p>
        </w:tc>
        <w:tc>
          <w:tcPr>
            <w:tcW w:w="2776" w:type="dxa"/>
            <w:vMerge w:val="continue"/>
            <w:noWrap w:val="0"/>
            <w:vAlign w:val="center"/>
          </w:tcPr>
          <w:p>
            <w:pPr>
              <w:widowControl/>
              <w:spacing w:line="200" w:lineRule="exact"/>
              <w:contextualSpacing/>
              <w:jc w:val="left"/>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jc w:val="center"/>
        </w:trPr>
        <w:tc>
          <w:tcPr>
            <w:tcW w:w="518" w:type="dxa"/>
            <w:noWrap w:val="0"/>
            <w:vAlign w:val="center"/>
          </w:tcPr>
          <w:p>
            <w:pPr>
              <w:widowControl/>
              <w:spacing w:line="200" w:lineRule="exact"/>
              <w:contextualSpacing/>
              <w:jc w:val="center"/>
              <w:rPr>
                <w:kern w:val="0"/>
                <w:sz w:val="15"/>
                <w:szCs w:val="15"/>
              </w:rPr>
            </w:pPr>
            <w:r>
              <w:rPr>
                <w:kern w:val="0"/>
                <w:sz w:val="15"/>
                <w:szCs w:val="15"/>
              </w:rPr>
              <w:t>3</w:t>
            </w:r>
          </w:p>
        </w:tc>
        <w:tc>
          <w:tcPr>
            <w:tcW w:w="567" w:type="dxa"/>
            <w:noWrap w:val="0"/>
            <w:vAlign w:val="center"/>
          </w:tcPr>
          <w:p>
            <w:pPr>
              <w:widowControl/>
              <w:spacing w:line="200" w:lineRule="exact"/>
              <w:contextualSpacing/>
              <w:rPr>
                <w:rFonts w:hint="eastAsia"/>
                <w:kern w:val="0"/>
                <w:sz w:val="15"/>
                <w:szCs w:val="15"/>
              </w:rPr>
            </w:pPr>
            <w:r>
              <w:rPr>
                <w:kern w:val="0"/>
                <w:sz w:val="15"/>
                <w:szCs w:val="15"/>
              </w:rPr>
              <w:t>应急</w:t>
            </w:r>
          </w:p>
          <w:p>
            <w:pPr>
              <w:widowControl/>
              <w:spacing w:line="200" w:lineRule="exact"/>
              <w:contextualSpacing/>
              <w:rPr>
                <w:kern w:val="0"/>
                <w:sz w:val="15"/>
                <w:szCs w:val="15"/>
              </w:rPr>
            </w:pPr>
            <w:r>
              <w:rPr>
                <w:rFonts w:hint="eastAsia"/>
                <w:kern w:val="0"/>
                <w:sz w:val="15"/>
                <w:szCs w:val="15"/>
              </w:rPr>
              <w:t>管理</w:t>
            </w:r>
            <w:r>
              <w:rPr>
                <w:kern w:val="0"/>
                <w:sz w:val="15"/>
                <w:szCs w:val="15"/>
              </w:rPr>
              <w:t>部</w:t>
            </w:r>
          </w:p>
        </w:tc>
        <w:tc>
          <w:tcPr>
            <w:tcW w:w="851" w:type="dxa"/>
            <w:noWrap w:val="0"/>
            <w:vAlign w:val="center"/>
          </w:tcPr>
          <w:p>
            <w:pPr>
              <w:widowControl/>
              <w:spacing w:line="200" w:lineRule="exact"/>
              <w:contextualSpacing/>
              <w:rPr>
                <w:kern w:val="0"/>
                <w:sz w:val="15"/>
                <w:szCs w:val="15"/>
              </w:rPr>
            </w:pPr>
            <w:r>
              <w:rPr>
                <w:kern w:val="0"/>
                <w:sz w:val="15"/>
                <w:szCs w:val="15"/>
              </w:rPr>
              <w:t>消防技术服务机构资质审批</w:t>
            </w:r>
          </w:p>
        </w:tc>
        <w:tc>
          <w:tcPr>
            <w:tcW w:w="850" w:type="dxa"/>
            <w:noWrap w:val="0"/>
            <w:vAlign w:val="center"/>
          </w:tcPr>
          <w:p>
            <w:pPr>
              <w:widowControl/>
              <w:spacing w:line="200" w:lineRule="exact"/>
              <w:contextualSpacing/>
              <w:jc w:val="left"/>
              <w:rPr>
                <w:kern w:val="0"/>
                <w:sz w:val="15"/>
                <w:szCs w:val="15"/>
              </w:rPr>
            </w:pPr>
            <w:r>
              <w:rPr>
                <w:kern w:val="0"/>
                <w:sz w:val="15"/>
                <w:szCs w:val="15"/>
              </w:rPr>
              <w:t>消防技术服务机构资质证书</w:t>
            </w:r>
          </w:p>
        </w:tc>
        <w:tc>
          <w:tcPr>
            <w:tcW w:w="835" w:type="dxa"/>
            <w:noWrap w:val="0"/>
            <w:vAlign w:val="center"/>
          </w:tcPr>
          <w:p>
            <w:pPr>
              <w:widowControl/>
              <w:spacing w:line="200" w:lineRule="exact"/>
              <w:contextualSpacing/>
              <w:rPr>
                <w:kern w:val="0"/>
                <w:sz w:val="15"/>
                <w:szCs w:val="15"/>
              </w:rPr>
            </w:pPr>
            <w:r>
              <w:rPr>
                <w:kern w:val="0"/>
                <w:sz w:val="15"/>
                <w:szCs w:val="15"/>
              </w:rPr>
              <w:t>《中华人民共和国消防法》</w:t>
            </w:r>
          </w:p>
        </w:tc>
        <w:tc>
          <w:tcPr>
            <w:tcW w:w="850" w:type="dxa"/>
            <w:noWrap w:val="0"/>
            <w:vAlign w:val="center"/>
          </w:tcPr>
          <w:p>
            <w:pPr>
              <w:widowControl/>
              <w:spacing w:line="200" w:lineRule="exact"/>
              <w:contextualSpacing/>
              <w:jc w:val="left"/>
              <w:rPr>
                <w:kern w:val="0"/>
                <w:sz w:val="15"/>
                <w:szCs w:val="15"/>
              </w:rPr>
            </w:pPr>
            <w:r>
              <w:rPr>
                <w:kern w:val="0"/>
                <w:sz w:val="15"/>
                <w:szCs w:val="15"/>
              </w:rPr>
              <w:t>省级消防救援机构</w:t>
            </w:r>
          </w:p>
        </w:tc>
        <w:tc>
          <w:tcPr>
            <w:tcW w:w="340" w:type="dxa"/>
            <w:noWrap w:val="0"/>
            <w:vAlign w:val="center"/>
          </w:tcPr>
          <w:p>
            <w:pPr>
              <w:widowControl/>
              <w:spacing w:line="200" w:lineRule="exact"/>
              <w:contextualSpacing/>
              <w:jc w:val="center"/>
              <w:rPr>
                <w:kern w:val="0"/>
                <w:sz w:val="15"/>
                <w:szCs w:val="15"/>
              </w:rPr>
            </w:pPr>
            <w:r>
              <w:rPr>
                <w:kern w:val="0"/>
                <w:sz w:val="15"/>
                <w:szCs w:val="15"/>
              </w:rPr>
              <w:t>√</w:t>
            </w:r>
          </w:p>
        </w:tc>
        <w:tc>
          <w:tcPr>
            <w:tcW w:w="340" w:type="dxa"/>
            <w:noWrap w:val="0"/>
            <w:vAlign w:val="center"/>
          </w:tcPr>
          <w:p>
            <w:pPr>
              <w:widowControl/>
              <w:spacing w:line="200" w:lineRule="exact"/>
              <w:contextualSpacing/>
              <w:jc w:val="center"/>
              <w:rPr>
                <w:kern w:val="0"/>
                <w:sz w:val="15"/>
                <w:szCs w:val="15"/>
              </w:rPr>
            </w:pPr>
            <w:r>
              <w:rPr>
                <w:kern w:val="0"/>
                <w:sz w:val="15"/>
                <w:szCs w:val="15"/>
              </w:rPr>
              <w:t>　</w:t>
            </w:r>
          </w:p>
        </w:tc>
        <w:tc>
          <w:tcPr>
            <w:tcW w:w="340" w:type="dxa"/>
            <w:noWrap w:val="0"/>
            <w:vAlign w:val="center"/>
          </w:tcPr>
          <w:p>
            <w:pPr>
              <w:widowControl/>
              <w:spacing w:line="200" w:lineRule="exact"/>
              <w:contextualSpacing/>
              <w:jc w:val="center"/>
              <w:rPr>
                <w:kern w:val="0"/>
                <w:sz w:val="15"/>
                <w:szCs w:val="15"/>
              </w:rPr>
            </w:pPr>
            <w:r>
              <w:rPr>
                <w:kern w:val="0"/>
                <w:sz w:val="15"/>
                <w:szCs w:val="15"/>
              </w:rPr>
              <w:t>　</w:t>
            </w:r>
          </w:p>
        </w:tc>
        <w:tc>
          <w:tcPr>
            <w:tcW w:w="340" w:type="dxa"/>
            <w:noWrap w:val="0"/>
            <w:vAlign w:val="center"/>
          </w:tcPr>
          <w:p>
            <w:pPr>
              <w:widowControl/>
              <w:spacing w:line="200" w:lineRule="exact"/>
              <w:contextualSpacing/>
              <w:jc w:val="center"/>
              <w:rPr>
                <w:kern w:val="0"/>
                <w:sz w:val="15"/>
                <w:szCs w:val="15"/>
              </w:rPr>
            </w:pPr>
            <w:r>
              <w:rPr>
                <w:kern w:val="0"/>
                <w:sz w:val="15"/>
                <w:szCs w:val="15"/>
              </w:rPr>
              <w:t>　</w:t>
            </w:r>
          </w:p>
        </w:tc>
        <w:tc>
          <w:tcPr>
            <w:tcW w:w="1879" w:type="dxa"/>
            <w:noWrap w:val="0"/>
            <w:vAlign w:val="center"/>
          </w:tcPr>
          <w:p>
            <w:pPr>
              <w:widowControl/>
              <w:spacing w:line="200" w:lineRule="exact"/>
              <w:contextualSpacing/>
              <w:rPr>
                <w:kern w:val="0"/>
                <w:sz w:val="15"/>
                <w:szCs w:val="15"/>
              </w:rPr>
            </w:pPr>
            <w:r>
              <w:rPr>
                <w:kern w:val="0"/>
                <w:sz w:val="15"/>
                <w:szCs w:val="15"/>
              </w:rPr>
              <w:t>根据全国人大常委会授权决定，暂时调整适用《中华人民共和国消防法》关于“消防技术服务机构资质审批”的规定，取消审批。</w:t>
            </w:r>
          </w:p>
        </w:tc>
        <w:tc>
          <w:tcPr>
            <w:tcW w:w="2776" w:type="dxa"/>
            <w:noWrap w:val="0"/>
            <w:vAlign w:val="center"/>
          </w:tcPr>
          <w:p>
            <w:pPr>
              <w:widowControl/>
              <w:spacing w:line="200" w:lineRule="exact"/>
              <w:contextualSpacing/>
              <w:rPr>
                <w:kern w:val="0"/>
                <w:sz w:val="15"/>
                <w:szCs w:val="15"/>
              </w:rPr>
            </w:pPr>
            <w:r>
              <w:rPr>
                <w:kern w:val="0"/>
                <w:sz w:val="15"/>
                <w:szCs w:val="15"/>
              </w:rPr>
              <w:t>1.制定消防技术服务机构从业条件和服务标准，引导加强行业自律、规范从业行为、落实主体责任。2.加强对从业行为的监督抽查，对不具备从业条件、弄虚作假等违法违规行为要依法查处。3.对投诉举报多的机构实施重点监管。4.对造成人员死亡或重大社会影响的火灾，倒查中介服务机构主体责任，依法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5" w:hRule="atLeast"/>
          <w:jc w:val="center"/>
        </w:trPr>
        <w:tc>
          <w:tcPr>
            <w:tcW w:w="518" w:type="dxa"/>
            <w:noWrap w:val="0"/>
            <w:vAlign w:val="center"/>
          </w:tcPr>
          <w:p>
            <w:pPr>
              <w:widowControl/>
              <w:spacing w:line="200" w:lineRule="exact"/>
              <w:contextualSpacing/>
              <w:jc w:val="center"/>
              <w:rPr>
                <w:kern w:val="0"/>
                <w:sz w:val="15"/>
                <w:szCs w:val="15"/>
              </w:rPr>
            </w:pPr>
            <w:r>
              <w:rPr>
                <w:kern w:val="0"/>
                <w:sz w:val="15"/>
                <w:szCs w:val="15"/>
              </w:rPr>
              <w:t>22</w:t>
            </w:r>
          </w:p>
        </w:tc>
        <w:tc>
          <w:tcPr>
            <w:tcW w:w="567" w:type="dxa"/>
            <w:noWrap w:val="0"/>
            <w:vAlign w:val="center"/>
          </w:tcPr>
          <w:p>
            <w:pPr>
              <w:widowControl/>
              <w:spacing w:line="200" w:lineRule="exact"/>
              <w:contextualSpacing/>
              <w:rPr>
                <w:rFonts w:hint="eastAsia"/>
                <w:kern w:val="0"/>
                <w:sz w:val="15"/>
                <w:szCs w:val="15"/>
              </w:rPr>
            </w:pPr>
            <w:r>
              <w:rPr>
                <w:kern w:val="0"/>
                <w:sz w:val="15"/>
                <w:szCs w:val="15"/>
              </w:rPr>
              <w:t>应急</w:t>
            </w:r>
          </w:p>
          <w:p>
            <w:pPr>
              <w:widowControl/>
              <w:spacing w:line="200" w:lineRule="exact"/>
              <w:contextualSpacing/>
              <w:rPr>
                <w:kern w:val="0"/>
                <w:sz w:val="15"/>
                <w:szCs w:val="15"/>
              </w:rPr>
            </w:pPr>
            <w:r>
              <w:rPr>
                <w:rFonts w:hint="eastAsia"/>
                <w:kern w:val="0"/>
                <w:sz w:val="15"/>
                <w:szCs w:val="15"/>
              </w:rPr>
              <w:t>管理</w:t>
            </w:r>
            <w:r>
              <w:rPr>
                <w:kern w:val="0"/>
                <w:sz w:val="15"/>
                <w:szCs w:val="15"/>
              </w:rPr>
              <w:t>部</w:t>
            </w:r>
          </w:p>
        </w:tc>
        <w:tc>
          <w:tcPr>
            <w:tcW w:w="851" w:type="dxa"/>
            <w:noWrap w:val="0"/>
            <w:vAlign w:val="center"/>
          </w:tcPr>
          <w:p>
            <w:pPr>
              <w:widowControl/>
              <w:spacing w:line="200" w:lineRule="exact"/>
              <w:contextualSpacing/>
              <w:rPr>
                <w:kern w:val="0"/>
                <w:sz w:val="15"/>
                <w:szCs w:val="15"/>
              </w:rPr>
            </w:pPr>
            <w:r>
              <w:rPr>
                <w:kern w:val="0"/>
                <w:sz w:val="15"/>
                <w:szCs w:val="15"/>
              </w:rPr>
              <w:t>公众聚集场所投入使用、营业前消防安全检查</w:t>
            </w:r>
          </w:p>
        </w:tc>
        <w:tc>
          <w:tcPr>
            <w:tcW w:w="850" w:type="dxa"/>
            <w:noWrap w:val="0"/>
            <w:vAlign w:val="center"/>
          </w:tcPr>
          <w:p>
            <w:pPr>
              <w:widowControl/>
              <w:spacing w:line="200" w:lineRule="exact"/>
              <w:contextualSpacing/>
              <w:jc w:val="left"/>
              <w:rPr>
                <w:kern w:val="0"/>
                <w:sz w:val="15"/>
                <w:szCs w:val="15"/>
              </w:rPr>
            </w:pPr>
            <w:r>
              <w:rPr>
                <w:kern w:val="0"/>
                <w:sz w:val="15"/>
                <w:szCs w:val="15"/>
              </w:rPr>
              <w:t>公众聚集场所投入使用、营业前消防安全检查合格证</w:t>
            </w:r>
          </w:p>
        </w:tc>
        <w:tc>
          <w:tcPr>
            <w:tcW w:w="835" w:type="dxa"/>
            <w:noWrap w:val="0"/>
            <w:vAlign w:val="center"/>
          </w:tcPr>
          <w:p>
            <w:pPr>
              <w:widowControl/>
              <w:spacing w:line="200" w:lineRule="exact"/>
              <w:contextualSpacing/>
              <w:rPr>
                <w:kern w:val="0"/>
                <w:sz w:val="15"/>
                <w:szCs w:val="15"/>
              </w:rPr>
            </w:pPr>
            <w:r>
              <w:rPr>
                <w:kern w:val="0"/>
                <w:sz w:val="15"/>
                <w:szCs w:val="15"/>
              </w:rPr>
              <w:t>《中华人民共和国消防法》</w:t>
            </w:r>
          </w:p>
        </w:tc>
        <w:tc>
          <w:tcPr>
            <w:tcW w:w="850" w:type="dxa"/>
            <w:noWrap w:val="0"/>
            <w:vAlign w:val="center"/>
          </w:tcPr>
          <w:p>
            <w:pPr>
              <w:widowControl/>
              <w:spacing w:line="200" w:lineRule="exact"/>
              <w:contextualSpacing/>
              <w:jc w:val="left"/>
              <w:rPr>
                <w:kern w:val="0"/>
                <w:sz w:val="15"/>
                <w:szCs w:val="15"/>
              </w:rPr>
            </w:pPr>
            <w:r>
              <w:rPr>
                <w:kern w:val="0"/>
                <w:sz w:val="15"/>
                <w:szCs w:val="15"/>
              </w:rPr>
              <w:t>设区的市、县级消防救援机构</w:t>
            </w:r>
          </w:p>
        </w:tc>
        <w:tc>
          <w:tcPr>
            <w:tcW w:w="340" w:type="dxa"/>
            <w:noWrap w:val="0"/>
            <w:vAlign w:val="center"/>
          </w:tcPr>
          <w:p>
            <w:pPr>
              <w:widowControl/>
              <w:spacing w:line="200" w:lineRule="exact"/>
              <w:contextualSpacing/>
              <w:jc w:val="center"/>
              <w:rPr>
                <w:kern w:val="0"/>
                <w:sz w:val="15"/>
                <w:szCs w:val="15"/>
              </w:rPr>
            </w:pPr>
            <w:r>
              <w:rPr>
                <w:kern w:val="0"/>
                <w:sz w:val="15"/>
                <w:szCs w:val="15"/>
              </w:rPr>
              <w:t>　</w:t>
            </w:r>
          </w:p>
        </w:tc>
        <w:tc>
          <w:tcPr>
            <w:tcW w:w="340" w:type="dxa"/>
            <w:noWrap w:val="0"/>
            <w:vAlign w:val="center"/>
          </w:tcPr>
          <w:p>
            <w:pPr>
              <w:widowControl/>
              <w:spacing w:line="200" w:lineRule="exact"/>
              <w:contextualSpacing/>
              <w:jc w:val="center"/>
              <w:rPr>
                <w:kern w:val="0"/>
                <w:sz w:val="15"/>
                <w:szCs w:val="15"/>
              </w:rPr>
            </w:pPr>
            <w:r>
              <w:rPr>
                <w:kern w:val="0"/>
                <w:sz w:val="15"/>
                <w:szCs w:val="15"/>
              </w:rPr>
              <w:t>　</w:t>
            </w:r>
          </w:p>
        </w:tc>
        <w:tc>
          <w:tcPr>
            <w:tcW w:w="340" w:type="dxa"/>
            <w:noWrap w:val="0"/>
            <w:vAlign w:val="center"/>
          </w:tcPr>
          <w:p>
            <w:pPr>
              <w:widowControl/>
              <w:spacing w:line="200" w:lineRule="exact"/>
              <w:contextualSpacing/>
              <w:jc w:val="center"/>
              <w:rPr>
                <w:kern w:val="0"/>
                <w:sz w:val="15"/>
                <w:szCs w:val="15"/>
              </w:rPr>
            </w:pPr>
            <w:r>
              <w:rPr>
                <w:kern w:val="0"/>
                <w:sz w:val="15"/>
                <w:szCs w:val="15"/>
              </w:rPr>
              <w:t>√</w:t>
            </w:r>
          </w:p>
        </w:tc>
        <w:tc>
          <w:tcPr>
            <w:tcW w:w="340" w:type="dxa"/>
            <w:noWrap w:val="0"/>
            <w:vAlign w:val="center"/>
          </w:tcPr>
          <w:p>
            <w:pPr>
              <w:widowControl/>
              <w:spacing w:line="200" w:lineRule="exact"/>
              <w:contextualSpacing/>
              <w:jc w:val="center"/>
              <w:rPr>
                <w:kern w:val="0"/>
                <w:sz w:val="15"/>
                <w:szCs w:val="15"/>
              </w:rPr>
            </w:pPr>
            <w:r>
              <w:rPr>
                <w:kern w:val="0"/>
                <w:sz w:val="15"/>
                <w:szCs w:val="15"/>
              </w:rPr>
              <w:t>　</w:t>
            </w:r>
          </w:p>
        </w:tc>
        <w:tc>
          <w:tcPr>
            <w:tcW w:w="1879" w:type="dxa"/>
            <w:noWrap w:val="0"/>
            <w:vAlign w:val="center"/>
          </w:tcPr>
          <w:p>
            <w:pPr>
              <w:widowControl/>
              <w:spacing w:line="200" w:lineRule="exact"/>
              <w:contextualSpacing/>
              <w:rPr>
                <w:kern w:val="0"/>
                <w:sz w:val="15"/>
                <w:szCs w:val="15"/>
              </w:rPr>
            </w:pPr>
            <w:r>
              <w:rPr>
                <w:kern w:val="0"/>
                <w:sz w:val="15"/>
                <w:szCs w:val="15"/>
              </w:rPr>
              <w:t>根据全国人大常委会授权决定，暂时调整适用《中华人民共和国消防法》关于“公众聚集场所投入使用、营业前消防安全检查”的规定，实行告知承诺：1.制定公众聚集场所消防安全标准并向社会公布，提供告知承诺书格式文本。2.当事人承诺符合消防安全标准并提供相关材料的，消防救援机构不再进行实质性审查，当场作出审批决定。</w:t>
            </w:r>
          </w:p>
        </w:tc>
        <w:tc>
          <w:tcPr>
            <w:tcW w:w="2776" w:type="dxa"/>
            <w:noWrap w:val="0"/>
            <w:vAlign w:val="center"/>
          </w:tcPr>
          <w:p>
            <w:pPr>
              <w:widowControl/>
              <w:spacing w:line="200" w:lineRule="exact"/>
              <w:contextualSpacing/>
              <w:rPr>
                <w:kern w:val="0"/>
                <w:sz w:val="15"/>
                <w:szCs w:val="15"/>
              </w:rPr>
            </w:pPr>
            <w:r>
              <w:rPr>
                <w:kern w:val="0"/>
                <w:sz w:val="15"/>
                <w:szCs w:val="15"/>
              </w:rPr>
              <w:t>1.开展“双随机、一公开”监管，对投诉举报多的场所实施重点监管。2.公众聚集场所发生造成人员死亡或重大社会影响的火灾，倒查使用管理方主体责任，依法严肃查处。3.加强信用监管，向社会公布公众聚集场所消防安全检查情况，对失信主体加大抽查比例并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4" w:hRule="atLeast"/>
          <w:jc w:val="center"/>
        </w:trPr>
        <w:tc>
          <w:tcPr>
            <w:tcW w:w="518" w:type="dxa"/>
            <w:noWrap w:val="0"/>
            <w:vAlign w:val="center"/>
          </w:tcPr>
          <w:p>
            <w:pPr>
              <w:widowControl/>
              <w:spacing w:line="200" w:lineRule="exact"/>
              <w:contextualSpacing/>
              <w:jc w:val="center"/>
              <w:rPr>
                <w:kern w:val="0"/>
                <w:sz w:val="15"/>
                <w:szCs w:val="15"/>
              </w:rPr>
            </w:pPr>
            <w:r>
              <w:rPr>
                <w:kern w:val="0"/>
                <w:sz w:val="15"/>
                <w:szCs w:val="15"/>
              </w:rPr>
              <w:t>289</w:t>
            </w:r>
          </w:p>
        </w:tc>
        <w:tc>
          <w:tcPr>
            <w:tcW w:w="567" w:type="dxa"/>
            <w:noWrap w:val="0"/>
            <w:vAlign w:val="center"/>
          </w:tcPr>
          <w:p>
            <w:pPr>
              <w:widowControl/>
              <w:spacing w:line="200" w:lineRule="exact"/>
              <w:contextualSpacing/>
              <w:rPr>
                <w:kern w:val="0"/>
                <w:sz w:val="15"/>
                <w:szCs w:val="15"/>
              </w:rPr>
            </w:pPr>
            <w:r>
              <w:rPr>
                <w:kern w:val="0"/>
                <w:sz w:val="15"/>
                <w:szCs w:val="15"/>
              </w:rPr>
              <w:t>应急</w:t>
            </w:r>
            <w:r>
              <w:rPr>
                <w:rFonts w:hint="eastAsia"/>
                <w:kern w:val="0"/>
                <w:sz w:val="15"/>
                <w:szCs w:val="15"/>
              </w:rPr>
              <w:t>管理</w:t>
            </w:r>
            <w:r>
              <w:rPr>
                <w:kern w:val="0"/>
                <w:sz w:val="15"/>
                <w:szCs w:val="15"/>
              </w:rPr>
              <w:t>部</w:t>
            </w:r>
          </w:p>
        </w:tc>
        <w:tc>
          <w:tcPr>
            <w:tcW w:w="851" w:type="dxa"/>
            <w:noWrap w:val="0"/>
            <w:vAlign w:val="center"/>
          </w:tcPr>
          <w:p>
            <w:pPr>
              <w:widowControl/>
              <w:spacing w:line="200" w:lineRule="exact"/>
              <w:contextualSpacing/>
              <w:rPr>
                <w:kern w:val="0"/>
                <w:sz w:val="15"/>
                <w:szCs w:val="15"/>
              </w:rPr>
            </w:pPr>
            <w:r>
              <w:rPr>
                <w:kern w:val="0"/>
                <w:sz w:val="15"/>
                <w:szCs w:val="15"/>
              </w:rPr>
              <w:t>安全生产检测检验机构资质认可</w:t>
            </w:r>
          </w:p>
        </w:tc>
        <w:tc>
          <w:tcPr>
            <w:tcW w:w="850" w:type="dxa"/>
            <w:noWrap w:val="0"/>
            <w:vAlign w:val="center"/>
          </w:tcPr>
          <w:p>
            <w:pPr>
              <w:widowControl/>
              <w:spacing w:line="200" w:lineRule="exact"/>
              <w:contextualSpacing/>
              <w:jc w:val="left"/>
              <w:rPr>
                <w:kern w:val="0"/>
                <w:sz w:val="15"/>
                <w:szCs w:val="15"/>
              </w:rPr>
            </w:pPr>
            <w:r>
              <w:rPr>
                <w:kern w:val="0"/>
                <w:sz w:val="15"/>
                <w:szCs w:val="15"/>
              </w:rPr>
              <w:t>安全生产检测检验机构资质证书</w:t>
            </w:r>
          </w:p>
        </w:tc>
        <w:tc>
          <w:tcPr>
            <w:tcW w:w="835" w:type="dxa"/>
            <w:noWrap w:val="0"/>
            <w:vAlign w:val="center"/>
          </w:tcPr>
          <w:p>
            <w:pPr>
              <w:widowControl/>
              <w:spacing w:line="200" w:lineRule="exact"/>
              <w:contextualSpacing/>
              <w:rPr>
                <w:kern w:val="0"/>
                <w:sz w:val="15"/>
                <w:szCs w:val="15"/>
              </w:rPr>
            </w:pPr>
            <w:r>
              <w:rPr>
                <w:kern w:val="0"/>
                <w:sz w:val="15"/>
                <w:szCs w:val="15"/>
              </w:rPr>
              <w:t>《中华人民共和国安全生产法》</w:t>
            </w:r>
          </w:p>
        </w:tc>
        <w:tc>
          <w:tcPr>
            <w:tcW w:w="850" w:type="dxa"/>
            <w:noWrap w:val="0"/>
            <w:vAlign w:val="center"/>
          </w:tcPr>
          <w:p>
            <w:pPr>
              <w:widowControl/>
              <w:spacing w:line="200" w:lineRule="exact"/>
              <w:contextualSpacing/>
              <w:jc w:val="left"/>
              <w:rPr>
                <w:kern w:val="0"/>
                <w:sz w:val="15"/>
                <w:szCs w:val="15"/>
              </w:rPr>
            </w:pPr>
            <w:r>
              <w:rPr>
                <w:kern w:val="0"/>
                <w:sz w:val="15"/>
                <w:szCs w:val="15"/>
              </w:rPr>
              <w:t>省级应急管理部门、煤矿安全生产监管部门</w:t>
            </w:r>
          </w:p>
        </w:tc>
        <w:tc>
          <w:tcPr>
            <w:tcW w:w="340" w:type="dxa"/>
            <w:noWrap w:val="0"/>
            <w:vAlign w:val="center"/>
          </w:tcPr>
          <w:p>
            <w:pPr>
              <w:widowControl/>
              <w:spacing w:line="200" w:lineRule="exact"/>
              <w:contextualSpacing/>
              <w:jc w:val="center"/>
              <w:rPr>
                <w:kern w:val="0"/>
                <w:sz w:val="15"/>
                <w:szCs w:val="15"/>
              </w:rPr>
            </w:pPr>
            <w:r>
              <w:rPr>
                <w:kern w:val="0"/>
                <w:sz w:val="15"/>
                <w:szCs w:val="15"/>
              </w:rPr>
              <w:t>　</w:t>
            </w:r>
          </w:p>
        </w:tc>
        <w:tc>
          <w:tcPr>
            <w:tcW w:w="340" w:type="dxa"/>
            <w:noWrap w:val="0"/>
            <w:vAlign w:val="center"/>
          </w:tcPr>
          <w:p>
            <w:pPr>
              <w:widowControl/>
              <w:spacing w:line="200" w:lineRule="exact"/>
              <w:contextualSpacing/>
              <w:jc w:val="center"/>
              <w:rPr>
                <w:kern w:val="0"/>
                <w:sz w:val="15"/>
                <w:szCs w:val="15"/>
              </w:rPr>
            </w:pPr>
            <w:r>
              <w:rPr>
                <w:kern w:val="0"/>
                <w:sz w:val="15"/>
                <w:szCs w:val="15"/>
              </w:rPr>
              <w:t>　</w:t>
            </w:r>
          </w:p>
        </w:tc>
        <w:tc>
          <w:tcPr>
            <w:tcW w:w="340" w:type="dxa"/>
            <w:noWrap w:val="0"/>
            <w:vAlign w:val="center"/>
          </w:tcPr>
          <w:p>
            <w:pPr>
              <w:widowControl/>
              <w:spacing w:line="200" w:lineRule="exact"/>
              <w:contextualSpacing/>
              <w:jc w:val="center"/>
              <w:rPr>
                <w:kern w:val="0"/>
                <w:sz w:val="15"/>
                <w:szCs w:val="15"/>
              </w:rPr>
            </w:pPr>
            <w:r>
              <w:rPr>
                <w:kern w:val="0"/>
                <w:sz w:val="15"/>
                <w:szCs w:val="15"/>
              </w:rPr>
              <w:t>　</w:t>
            </w:r>
          </w:p>
        </w:tc>
        <w:tc>
          <w:tcPr>
            <w:tcW w:w="340" w:type="dxa"/>
            <w:noWrap w:val="0"/>
            <w:vAlign w:val="center"/>
          </w:tcPr>
          <w:p>
            <w:pPr>
              <w:widowControl/>
              <w:spacing w:line="200" w:lineRule="exact"/>
              <w:contextualSpacing/>
              <w:jc w:val="center"/>
              <w:rPr>
                <w:kern w:val="0"/>
                <w:sz w:val="15"/>
                <w:szCs w:val="15"/>
              </w:rPr>
            </w:pPr>
            <w:r>
              <w:rPr>
                <w:kern w:val="0"/>
                <w:sz w:val="15"/>
                <w:szCs w:val="15"/>
              </w:rPr>
              <w:t>√</w:t>
            </w:r>
          </w:p>
        </w:tc>
        <w:tc>
          <w:tcPr>
            <w:tcW w:w="1879" w:type="dxa"/>
            <w:noWrap w:val="0"/>
            <w:vAlign w:val="center"/>
          </w:tcPr>
          <w:p>
            <w:pPr>
              <w:widowControl/>
              <w:spacing w:line="200" w:lineRule="exact"/>
              <w:contextualSpacing/>
              <w:rPr>
                <w:kern w:val="0"/>
                <w:sz w:val="15"/>
                <w:szCs w:val="15"/>
              </w:rPr>
            </w:pPr>
            <w:r>
              <w:rPr>
                <w:kern w:val="0"/>
                <w:sz w:val="15"/>
                <w:szCs w:val="15"/>
              </w:rPr>
              <w:t>1.实行许可申请材料清单管理，不得要求申请人提供清单以外的证明材料。2.不再将安全生产检测检验机构取得法定计量认证作为前置条件。3.推行法定代表人承诺、公司承诺管理，对申请材料真实性、固定资产等实行告知承诺。4.依托有关平台，提供统一信息查询服务，便于机构跨区域从业和属地监管。</w:t>
            </w:r>
          </w:p>
        </w:tc>
        <w:tc>
          <w:tcPr>
            <w:tcW w:w="2776" w:type="dxa"/>
            <w:noWrap w:val="0"/>
            <w:vAlign w:val="center"/>
          </w:tcPr>
          <w:p>
            <w:pPr>
              <w:widowControl/>
              <w:spacing w:line="200" w:lineRule="exact"/>
              <w:contextualSpacing/>
              <w:rPr>
                <w:kern w:val="0"/>
                <w:sz w:val="15"/>
                <w:szCs w:val="15"/>
              </w:rPr>
            </w:pPr>
            <w:r>
              <w:rPr>
                <w:kern w:val="0"/>
                <w:sz w:val="15"/>
                <w:szCs w:val="15"/>
              </w:rPr>
              <w:t>1.制定全国统一的机构资质认定标准和执法标准，明确监管管辖权，规范自由裁量权。2.开展“双随机、一公开”监管和信用监管，加强执法监督，对失信主体实行联合惩戒。3.加强对安全生产检测检验机构有关信息的共享和公开，接受社会监督。4.发挥行业组织自律作用，完善技术仲裁工作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5" w:hRule="atLeast"/>
          <w:jc w:val="center"/>
        </w:trPr>
        <w:tc>
          <w:tcPr>
            <w:tcW w:w="518" w:type="dxa"/>
            <w:noWrap w:val="0"/>
            <w:vAlign w:val="center"/>
          </w:tcPr>
          <w:p>
            <w:pPr>
              <w:widowControl/>
              <w:spacing w:line="200" w:lineRule="exact"/>
              <w:contextualSpacing/>
              <w:jc w:val="center"/>
              <w:rPr>
                <w:kern w:val="0"/>
                <w:sz w:val="15"/>
                <w:szCs w:val="15"/>
              </w:rPr>
            </w:pPr>
            <w:r>
              <w:rPr>
                <w:kern w:val="0"/>
                <w:sz w:val="15"/>
                <w:szCs w:val="15"/>
              </w:rPr>
              <w:t>290</w:t>
            </w:r>
          </w:p>
        </w:tc>
        <w:tc>
          <w:tcPr>
            <w:tcW w:w="567" w:type="dxa"/>
            <w:noWrap w:val="0"/>
            <w:vAlign w:val="center"/>
          </w:tcPr>
          <w:p>
            <w:pPr>
              <w:widowControl/>
              <w:spacing w:line="200" w:lineRule="exact"/>
              <w:contextualSpacing/>
              <w:rPr>
                <w:kern w:val="0"/>
                <w:sz w:val="15"/>
                <w:szCs w:val="15"/>
              </w:rPr>
            </w:pPr>
            <w:r>
              <w:rPr>
                <w:kern w:val="0"/>
                <w:sz w:val="15"/>
                <w:szCs w:val="15"/>
              </w:rPr>
              <w:t>应急</w:t>
            </w:r>
            <w:r>
              <w:rPr>
                <w:rFonts w:hint="eastAsia"/>
                <w:kern w:val="0"/>
                <w:sz w:val="15"/>
                <w:szCs w:val="15"/>
              </w:rPr>
              <w:t>管理</w:t>
            </w:r>
            <w:r>
              <w:rPr>
                <w:kern w:val="0"/>
                <w:sz w:val="15"/>
                <w:szCs w:val="15"/>
              </w:rPr>
              <w:t>部</w:t>
            </w:r>
          </w:p>
        </w:tc>
        <w:tc>
          <w:tcPr>
            <w:tcW w:w="851" w:type="dxa"/>
            <w:noWrap w:val="0"/>
            <w:vAlign w:val="center"/>
          </w:tcPr>
          <w:p>
            <w:pPr>
              <w:widowControl/>
              <w:spacing w:line="200" w:lineRule="exact"/>
              <w:contextualSpacing/>
              <w:rPr>
                <w:kern w:val="0"/>
                <w:sz w:val="15"/>
                <w:szCs w:val="15"/>
              </w:rPr>
            </w:pPr>
            <w:r>
              <w:rPr>
                <w:kern w:val="0"/>
                <w:sz w:val="15"/>
                <w:szCs w:val="15"/>
              </w:rPr>
              <w:t>安全评价机构资质认可</w:t>
            </w:r>
          </w:p>
        </w:tc>
        <w:tc>
          <w:tcPr>
            <w:tcW w:w="850" w:type="dxa"/>
            <w:noWrap w:val="0"/>
            <w:vAlign w:val="center"/>
          </w:tcPr>
          <w:p>
            <w:pPr>
              <w:widowControl/>
              <w:spacing w:line="200" w:lineRule="exact"/>
              <w:contextualSpacing/>
              <w:jc w:val="left"/>
              <w:rPr>
                <w:kern w:val="0"/>
                <w:sz w:val="15"/>
                <w:szCs w:val="15"/>
              </w:rPr>
            </w:pPr>
            <w:r>
              <w:rPr>
                <w:kern w:val="0"/>
                <w:sz w:val="15"/>
                <w:szCs w:val="15"/>
              </w:rPr>
              <w:t>安全评价机构资质证书</w:t>
            </w:r>
          </w:p>
        </w:tc>
        <w:tc>
          <w:tcPr>
            <w:tcW w:w="835" w:type="dxa"/>
            <w:noWrap w:val="0"/>
            <w:vAlign w:val="center"/>
          </w:tcPr>
          <w:p>
            <w:pPr>
              <w:widowControl/>
              <w:spacing w:line="200" w:lineRule="exact"/>
              <w:contextualSpacing/>
              <w:rPr>
                <w:kern w:val="0"/>
                <w:sz w:val="15"/>
                <w:szCs w:val="15"/>
              </w:rPr>
            </w:pPr>
            <w:r>
              <w:rPr>
                <w:kern w:val="0"/>
                <w:sz w:val="15"/>
                <w:szCs w:val="15"/>
              </w:rPr>
              <w:t>《中华人民共和国安全生产法》</w:t>
            </w:r>
          </w:p>
        </w:tc>
        <w:tc>
          <w:tcPr>
            <w:tcW w:w="850" w:type="dxa"/>
            <w:noWrap w:val="0"/>
            <w:vAlign w:val="center"/>
          </w:tcPr>
          <w:p>
            <w:pPr>
              <w:widowControl/>
              <w:spacing w:line="200" w:lineRule="exact"/>
              <w:contextualSpacing/>
              <w:jc w:val="left"/>
              <w:rPr>
                <w:kern w:val="0"/>
                <w:sz w:val="15"/>
                <w:szCs w:val="15"/>
              </w:rPr>
            </w:pPr>
            <w:r>
              <w:rPr>
                <w:kern w:val="0"/>
                <w:sz w:val="15"/>
                <w:szCs w:val="15"/>
              </w:rPr>
              <w:t>省级应急管理部门、煤矿安全生产监管部门</w:t>
            </w:r>
          </w:p>
        </w:tc>
        <w:tc>
          <w:tcPr>
            <w:tcW w:w="340" w:type="dxa"/>
            <w:noWrap w:val="0"/>
            <w:vAlign w:val="center"/>
          </w:tcPr>
          <w:p>
            <w:pPr>
              <w:widowControl/>
              <w:spacing w:line="200" w:lineRule="exact"/>
              <w:contextualSpacing/>
              <w:jc w:val="center"/>
              <w:rPr>
                <w:kern w:val="0"/>
                <w:sz w:val="15"/>
                <w:szCs w:val="15"/>
              </w:rPr>
            </w:pPr>
            <w:r>
              <w:rPr>
                <w:kern w:val="0"/>
                <w:sz w:val="15"/>
                <w:szCs w:val="15"/>
              </w:rPr>
              <w:t>　</w:t>
            </w:r>
          </w:p>
        </w:tc>
        <w:tc>
          <w:tcPr>
            <w:tcW w:w="340" w:type="dxa"/>
            <w:noWrap w:val="0"/>
            <w:vAlign w:val="center"/>
          </w:tcPr>
          <w:p>
            <w:pPr>
              <w:widowControl/>
              <w:spacing w:line="200" w:lineRule="exact"/>
              <w:contextualSpacing/>
              <w:jc w:val="center"/>
              <w:rPr>
                <w:kern w:val="0"/>
                <w:sz w:val="15"/>
                <w:szCs w:val="15"/>
              </w:rPr>
            </w:pPr>
            <w:r>
              <w:rPr>
                <w:kern w:val="0"/>
                <w:sz w:val="15"/>
                <w:szCs w:val="15"/>
              </w:rPr>
              <w:t>　</w:t>
            </w:r>
          </w:p>
        </w:tc>
        <w:tc>
          <w:tcPr>
            <w:tcW w:w="340" w:type="dxa"/>
            <w:noWrap w:val="0"/>
            <w:vAlign w:val="center"/>
          </w:tcPr>
          <w:p>
            <w:pPr>
              <w:widowControl/>
              <w:spacing w:line="200" w:lineRule="exact"/>
              <w:contextualSpacing/>
              <w:jc w:val="center"/>
              <w:rPr>
                <w:kern w:val="0"/>
                <w:sz w:val="15"/>
                <w:szCs w:val="15"/>
              </w:rPr>
            </w:pPr>
            <w:r>
              <w:rPr>
                <w:kern w:val="0"/>
                <w:sz w:val="15"/>
                <w:szCs w:val="15"/>
              </w:rPr>
              <w:t>　</w:t>
            </w:r>
          </w:p>
        </w:tc>
        <w:tc>
          <w:tcPr>
            <w:tcW w:w="340" w:type="dxa"/>
            <w:noWrap w:val="0"/>
            <w:vAlign w:val="center"/>
          </w:tcPr>
          <w:p>
            <w:pPr>
              <w:widowControl/>
              <w:spacing w:line="200" w:lineRule="exact"/>
              <w:contextualSpacing/>
              <w:jc w:val="center"/>
              <w:rPr>
                <w:kern w:val="0"/>
                <w:sz w:val="15"/>
                <w:szCs w:val="15"/>
              </w:rPr>
            </w:pPr>
            <w:r>
              <w:rPr>
                <w:kern w:val="0"/>
                <w:sz w:val="15"/>
                <w:szCs w:val="15"/>
              </w:rPr>
              <w:t>√</w:t>
            </w:r>
          </w:p>
        </w:tc>
        <w:tc>
          <w:tcPr>
            <w:tcW w:w="1879" w:type="dxa"/>
            <w:noWrap w:val="0"/>
            <w:vAlign w:val="center"/>
          </w:tcPr>
          <w:p>
            <w:pPr>
              <w:widowControl/>
              <w:spacing w:line="200" w:lineRule="exact"/>
              <w:contextualSpacing/>
              <w:rPr>
                <w:kern w:val="0"/>
                <w:sz w:val="15"/>
                <w:szCs w:val="15"/>
              </w:rPr>
            </w:pPr>
            <w:r>
              <w:rPr>
                <w:kern w:val="0"/>
                <w:sz w:val="15"/>
                <w:szCs w:val="15"/>
              </w:rPr>
              <w:t>1.实行许可申请材料清单管理，不得要求申请人提供清单外的证明材料。2.不再要求申请人提供安全评价师、安全工程师等人员资格证明材料，实行联网查询。3.推行法定代表人承诺、公司承诺管理，对申请材料真实性、固定资产、办公面积等实行告知承诺管理。</w:t>
            </w:r>
          </w:p>
        </w:tc>
        <w:tc>
          <w:tcPr>
            <w:tcW w:w="2776" w:type="dxa"/>
            <w:noWrap w:val="0"/>
            <w:vAlign w:val="center"/>
          </w:tcPr>
          <w:p>
            <w:pPr>
              <w:widowControl/>
              <w:spacing w:line="200" w:lineRule="exact"/>
              <w:contextualSpacing/>
              <w:rPr>
                <w:kern w:val="0"/>
                <w:sz w:val="15"/>
                <w:szCs w:val="15"/>
              </w:rPr>
            </w:pPr>
            <w:r>
              <w:rPr>
                <w:kern w:val="0"/>
                <w:sz w:val="15"/>
                <w:szCs w:val="15"/>
              </w:rPr>
              <w:t>1.健全安全评价机构审批工作制度，制定全国统一的机构资质认定标准和执法标准，明确监管管辖权，规范自由裁量权。2.开展“双随机、一公开”监管和信用监管，加强执法监督，对失信主体实行联合惩戒。3.加强对安全评价机构有关信息的共享和公开，接受社会监督。4.发挥行业组织自律作用，完善技术仲裁工作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7" w:hRule="atLeast"/>
          <w:jc w:val="center"/>
        </w:trPr>
        <w:tc>
          <w:tcPr>
            <w:tcW w:w="518" w:type="dxa"/>
            <w:noWrap w:val="0"/>
            <w:vAlign w:val="center"/>
          </w:tcPr>
          <w:p>
            <w:pPr>
              <w:widowControl/>
              <w:spacing w:line="200" w:lineRule="exact"/>
              <w:contextualSpacing/>
              <w:jc w:val="center"/>
              <w:rPr>
                <w:kern w:val="0"/>
                <w:sz w:val="15"/>
                <w:szCs w:val="15"/>
              </w:rPr>
            </w:pPr>
            <w:r>
              <w:rPr>
                <w:kern w:val="0"/>
                <w:sz w:val="15"/>
                <w:szCs w:val="15"/>
              </w:rPr>
              <w:t>291</w:t>
            </w:r>
          </w:p>
        </w:tc>
        <w:tc>
          <w:tcPr>
            <w:tcW w:w="567" w:type="dxa"/>
            <w:noWrap w:val="0"/>
            <w:vAlign w:val="center"/>
          </w:tcPr>
          <w:p>
            <w:pPr>
              <w:widowControl/>
              <w:spacing w:line="200" w:lineRule="exact"/>
              <w:contextualSpacing/>
              <w:rPr>
                <w:kern w:val="0"/>
                <w:sz w:val="15"/>
                <w:szCs w:val="15"/>
              </w:rPr>
            </w:pPr>
            <w:r>
              <w:rPr>
                <w:kern w:val="0"/>
                <w:sz w:val="15"/>
                <w:szCs w:val="15"/>
              </w:rPr>
              <w:t>应急</w:t>
            </w:r>
            <w:r>
              <w:rPr>
                <w:rFonts w:hint="eastAsia"/>
                <w:kern w:val="0"/>
                <w:sz w:val="15"/>
                <w:szCs w:val="15"/>
              </w:rPr>
              <w:t>管理</w:t>
            </w:r>
            <w:r>
              <w:rPr>
                <w:kern w:val="0"/>
                <w:sz w:val="15"/>
                <w:szCs w:val="15"/>
              </w:rPr>
              <w:t>部</w:t>
            </w:r>
          </w:p>
        </w:tc>
        <w:tc>
          <w:tcPr>
            <w:tcW w:w="851" w:type="dxa"/>
            <w:noWrap w:val="0"/>
            <w:vAlign w:val="center"/>
          </w:tcPr>
          <w:p>
            <w:pPr>
              <w:widowControl/>
              <w:spacing w:line="200" w:lineRule="exact"/>
              <w:contextualSpacing/>
              <w:rPr>
                <w:kern w:val="0"/>
                <w:sz w:val="15"/>
                <w:szCs w:val="15"/>
              </w:rPr>
            </w:pPr>
            <w:r>
              <w:rPr>
                <w:kern w:val="0"/>
                <w:sz w:val="15"/>
                <w:szCs w:val="15"/>
              </w:rPr>
              <w:t>跨省运营的石油天然气管道储运分（子）公司安全生产许可</w:t>
            </w:r>
          </w:p>
        </w:tc>
        <w:tc>
          <w:tcPr>
            <w:tcW w:w="850" w:type="dxa"/>
            <w:noWrap w:val="0"/>
            <w:vAlign w:val="center"/>
          </w:tcPr>
          <w:p>
            <w:pPr>
              <w:widowControl/>
              <w:spacing w:line="200" w:lineRule="exact"/>
              <w:contextualSpacing/>
              <w:jc w:val="left"/>
              <w:rPr>
                <w:kern w:val="0"/>
                <w:sz w:val="15"/>
                <w:szCs w:val="15"/>
              </w:rPr>
            </w:pPr>
            <w:r>
              <w:rPr>
                <w:kern w:val="0"/>
                <w:sz w:val="15"/>
                <w:szCs w:val="15"/>
              </w:rPr>
              <w:t>安全生产许可证（危险化学品）</w:t>
            </w:r>
          </w:p>
        </w:tc>
        <w:tc>
          <w:tcPr>
            <w:tcW w:w="835" w:type="dxa"/>
            <w:noWrap w:val="0"/>
            <w:vAlign w:val="center"/>
          </w:tcPr>
          <w:p>
            <w:pPr>
              <w:widowControl/>
              <w:spacing w:line="200" w:lineRule="exact"/>
              <w:contextualSpacing/>
              <w:rPr>
                <w:kern w:val="0"/>
                <w:sz w:val="15"/>
                <w:szCs w:val="15"/>
              </w:rPr>
            </w:pPr>
            <w:r>
              <w:rPr>
                <w:kern w:val="0"/>
                <w:sz w:val="15"/>
                <w:szCs w:val="15"/>
              </w:rPr>
              <w:t>《安全生产许可证条例》</w:t>
            </w:r>
          </w:p>
        </w:tc>
        <w:tc>
          <w:tcPr>
            <w:tcW w:w="850" w:type="dxa"/>
            <w:noWrap w:val="0"/>
            <w:vAlign w:val="center"/>
          </w:tcPr>
          <w:p>
            <w:pPr>
              <w:widowControl/>
              <w:spacing w:line="200" w:lineRule="exact"/>
              <w:contextualSpacing/>
              <w:jc w:val="center"/>
              <w:rPr>
                <w:kern w:val="0"/>
                <w:sz w:val="15"/>
                <w:szCs w:val="15"/>
              </w:rPr>
            </w:pPr>
            <w:r>
              <w:rPr>
                <w:kern w:val="0"/>
                <w:sz w:val="15"/>
                <w:szCs w:val="15"/>
              </w:rPr>
              <w:t>应急</w:t>
            </w:r>
            <w:r>
              <w:rPr>
                <w:rFonts w:hint="eastAsia"/>
                <w:kern w:val="0"/>
                <w:sz w:val="15"/>
                <w:szCs w:val="15"/>
              </w:rPr>
              <w:t>管理</w:t>
            </w:r>
            <w:r>
              <w:rPr>
                <w:kern w:val="0"/>
                <w:sz w:val="15"/>
                <w:szCs w:val="15"/>
              </w:rPr>
              <w:t>部</w:t>
            </w:r>
          </w:p>
        </w:tc>
        <w:tc>
          <w:tcPr>
            <w:tcW w:w="340" w:type="dxa"/>
            <w:noWrap w:val="0"/>
            <w:vAlign w:val="center"/>
          </w:tcPr>
          <w:p>
            <w:pPr>
              <w:widowControl/>
              <w:spacing w:line="200" w:lineRule="exact"/>
              <w:contextualSpacing/>
              <w:jc w:val="center"/>
              <w:rPr>
                <w:kern w:val="0"/>
                <w:sz w:val="15"/>
                <w:szCs w:val="15"/>
              </w:rPr>
            </w:pPr>
            <w:r>
              <w:rPr>
                <w:kern w:val="0"/>
                <w:sz w:val="15"/>
                <w:szCs w:val="15"/>
              </w:rPr>
              <w:t>　</w:t>
            </w:r>
          </w:p>
        </w:tc>
        <w:tc>
          <w:tcPr>
            <w:tcW w:w="340" w:type="dxa"/>
            <w:noWrap w:val="0"/>
            <w:vAlign w:val="center"/>
          </w:tcPr>
          <w:p>
            <w:pPr>
              <w:widowControl/>
              <w:spacing w:line="200" w:lineRule="exact"/>
              <w:contextualSpacing/>
              <w:jc w:val="center"/>
              <w:rPr>
                <w:kern w:val="0"/>
                <w:sz w:val="15"/>
                <w:szCs w:val="15"/>
              </w:rPr>
            </w:pPr>
            <w:r>
              <w:rPr>
                <w:kern w:val="0"/>
                <w:sz w:val="15"/>
                <w:szCs w:val="15"/>
              </w:rPr>
              <w:t>　</w:t>
            </w:r>
          </w:p>
        </w:tc>
        <w:tc>
          <w:tcPr>
            <w:tcW w:w="340" w:type="dxa"/>
            <w:noWrap w:val="0"/>
            <w:vAlign w:val="center"/>
          </w:tcPr>
          <w:p>
            <w:pPr>
              <w:widowControl/>
              <w:spacing w:line="200" w:lineRule="exact"/>
              <w:contextualSpacing/>
              <w:jc w:val="center"/>
              <w:rPr>
                <w:kern w:val="0"/>
                <w:sz w:val="15"/>
                <w:szCs w:val="15"/>
              </w:rPr>
            </w:pPr>
            <w:r>
              <w:rPr>
                <w:kern w:val="0"/>
                <w:sz w:val="15"/>
                <w:szCs w:val="15"/>
              </w:rPr>
              <w:t>　</w:t>
            </w:r>
          </w:p>
        </w:tc>
        <w:tc>
          <w:tcPr>
            <w:tcW w:w="340" w:type="dxa"/>
            <w:noWrap w:val="0"/>
            <w:vAlign w:val="center"/>
          </w:tcPr>
          <w:p>
            <w:pPr>
              <w:widowControl/>
              <w:spacing w:line="200" w:lineRule="exact"/>
              <w:contextualSpacing/>
              <w:jc w:val="center"/>
              <w:rPr>
                <w:kern w:val="0"/>
                <w:sz w:val="15"/>
                <w:szCs w:val="15"/>
              </w:rPr>
            </w:pPr>
            <w:r>
              <w:rPr>
                <w:kern w:val="0"/>
                <w:sz w:val="15"/>
                <w:szCs w:val="15"/>
              </w:rPr>
              <w:t>√</w:t>
            </w:r>
          </w:p>
        </w:tc>
        <w:tc>
          <w:tcPr>
            <w:tcW w:w="1879" w:type="dxa"/>
            <w:noWrap w:val="0"/>
            <w:vAlign w:val="center"/>
          </w:tcPr>
          <w:p>
            <w:pPr>
              <w:widowControl/>
              <w:spacing w:line="200" w:lineRule="exact"/>
              <w:contextualSpacing/>
              <w:rPr>
                <w:kern w:val="0"/>
                <w:sz w:val="15"/>
                <w:szCs w:val="15"/>
              </w:rPr>
            </w:pPr>
            <w:r>
              <w:rPr>
                <w:kern w:val="0"/>
                <w:sz w:val="15"/>
                <w:szCs w:val="15"/>
              </w:rPr>
              <w:t>1.暂时调整</w:t>
            </w:r>
            <w:r>
              <w:rPr>
                <w:rFonts w:hint="eastAsia"/>
                <w:kern w:val="0"/>
                <w:sz w:val="15"/>
                <w:szCs w:val="15"/>
              </w:rPr>
              <w:t>适用</w:t>
            </w:r>
            <w:r>
              <w:rPr>
                <w:kern w:val="0"/>
                <w:sz w:val="15"/>
                <w:szCs w:val="15"/>
              </w:rPr>
              <w:t>《安全生产许可证条例》中关于审批权限的规定，将审批权限由应急管理部下放至省级应急管理部门。2.出台陆上油气管道企业安全生产许可证管理办法。</w:t>
            </w:r>
          </w:p>
        </w:tc>
        <w:tc>
          <w:tcPr>
            <w:tcW w:w="2776" w:type="dxa"/>
            <w:noWrap w:val="0"/>
            <w:vAlign w:val="center"/>
          </w:tcPr>
          <w:p>
            <w:pPr>
              <w:widowControl/>
              <w:spacing w:line="200" w:lineRule="exact"/>
              <w:contextualSpacing/>
              <w:rPr>
                <w:kern w:val="0"/>
                <w:sz w:val="15"/>
                <w:szCs w:val="15"/>
              </w:rPr>
            </w:pPr>
            <w:r>
              <w:rPr>
                <w:kern w:val="0"/>
                <w:sz w:val="15"/>
                <w:szCs w:val="15"/>
              </w:rPr>
              <w:t>1.开展“双随机、一公开”监管，发现违法违规行为要依法严查重处并公开结果。2.加强信用监管，向社会公布跨省运营的石油天然气管道储运分（子）公司信用状况，对失信主体开展联合惩戒。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518" w:type="dxa"/>
            <w:noWrap w:val="0"/>
            <w:vAlign w:val="center"/>
          </w:tcPr>
          <w:p>
            <w:pPr>
              <w:widowControl/>
              <w:spacing w:line="200" w:lineRule="exact"/>
              <w:contextualSpacing/>
              <w:jc w:val="center"/>
              <w:rPr>
                <w:kern w:val="0"/>
                <w:sz w:val="15"/>
                <w:szCs w:val="15"/>
              </w:rPr>
            </w:pPr>
            <w:r>
              <w:rPr>
                <w:kern w:val="0"/>
                <w:sz w:val="15"/>
                <w:szCs w:val="15"/>
              </w:rPr>
              <w:t>292</w:t>
            </w:r>
          </w:p>
        </w:tc>
        <w:tc>
          <w:tcPr>
            <w:tcW w:w="567" w:type="dxa"/>
            <w:noWrap w:val="0"/>
            <w:vAlign w:val="center"/>
          </w:tcPr>
          <w:p>
            <w:pPr>
              <w:widowControl/>
              <w:spacing w:line="200" w:lineRule="exact"/>
              <w:contextualSpacing/>
              <w:rPr>
                <w:kern w:val="0"/>
                <w:sz w:val="15"/>
                <w:szCs w:val="15"/>
              </w:rPr>
            </w:pPr>
            <w:r>
              <w:rPr>
                <w:kern w:val="0"/>
                <w:sz w:val="15"/>
                <w:szCs w:val="15"/>
              </w:rPr>
              <w:t>应急</w:t>
            </w:r>
            <w:r>
              <w:rPr>
                <w:rFonts w:hint="eastAsia"/>
                <w:kern w:val="0"/>
                <w:sz w:val="15"/>
                <w:szCs w:val="15"/>
              </w:rPr>
              <w:t>管理</w:t>
            </w:r>
            <w:r>
              <w:rPr>
                <w:kern w:val="0"/>
                <w:sz w:val="15"/>
                <w:szCs w:val="15"/>
              </w:rPr>
              <w:t>部</w:t>
            </w:r>
          </w:p>
        </w:tc>
        <w:tc>
          <w:tcPr>
            <w:tcW w:w="851" w:type="dxa"/>
            <w:noWrap w:val="0"/>
            <w:vAlign w:val="center"/>
          </w:tcPr>
          <w:p>
            <w:pPr>
              <w:widowControl/>
              <w:spacing w:line="200" w:lineRule="exact"/>
              <w:contextualSpacing/>
              <w:rPr>
                <w:kern w:val="0"/>
                <w:sz w:val="15"/>
                <w:szCs w:val="15"/>
              </w:rPr>
            </w:pPr>
            <w:r>
              <w:rPr>
                <w:kern w:val="0"/>
                <w:sz w:val="15"/>
                <w:szCs w:val="15"/>
              </w:rPr>
              <w:t>非煤矿矿山企业安全生产许可证核发</w:t>
            </w:r>
          </w:p>
        </w:tc>
        <w:tc>
          <w:tcPr>
            <w:tcW w:w="850" w:type="dxa"/>
            <w:noWrap w:val="0"/>
            <w:vAlign w:val="center"/>
          </w:tcPr>
          <w:p>
            <w:pPr>
              <w:widowControl/>
              <w:spacing w:line="200" w:lineRule="exact"/>
              <w:contextualSpacing/>
              <w:jc w:val="left"/>
              <w:rPr>
                <w:kern w:val="0"/>
                <w:sz w:val="15"/>
                <w:szCs w:val="15"/>
              </w:rPr>
            </w:pPr>
            <w:r>
              <w:rPr>
                <w:kern w:val="0"/>
                <w:sz w:val="15"/>
                <w:szCs w:val="15"/>
              </w:rPr>
              <w:t>安全生产许可证（非煤矿山）</w:t>
            </w:r>
          </w:p>
        </w:tc>
        <w:tc>
          <w:tcPr>
            <w:tcW w:w="835" w:type="dxa"/>
            <w:noWrap w:val="0"/>
            <w:vAlign w:val="center"/>
          </w:tcPr>
          <w:p>
            <w:pPr>
              <w:widowControl/>
              <w:spacing w:line="200" w:lineRule="exact"/>
              <w:contextualSpacing/>
              <w:rPr>
                <w:kern w:val="0"/>
                <w:sz w:val="15"/>
                <w:szCs w:val="15"/>
              </w:rPr>
            </w:pPr>
            <w:r>
              <w:rPr>
                <w:kern w:val="0"/>
                <w:sz w:val="15"/>
                <w:szCs w:val="15"/>
              </w:rPr>
              <w:t>《安全生产许可证条例》</w:t>
            </w:r>
          </w:p>
        </w:tc>
        <w:tc>
          <w:tcPr>
            <w:tcW w:w="850" w:type="dxa"/>
            <w:noWrap w:val="0"/>
            <w:vAlign w:val="center"/>
          </w:tcPr>
          <w:p>
            <w:pPr>
              <w:widowControl/>
              <w:spacing w:line="200" w:lineRule="exact"/>
              <w:contextualSpacing/>
              <w:jc w:val="left"/>
              <w:rPr>
                <w:kern w:val="0"/>
                <w:sz w:val="15"/>
                <w:szCs w:val="15"/>
              </w:rPr>
            </w:pPr>
            <w:r>
              <w:rPr>
                <w:kern w:val="0"/>
                <w:sz w:val="15"/>
                <w:szCs w:val="15"/>
              </w:rPr>
              <w:t>省级应急管理部门</w:t>
            </w:r>
          </w:p>
        </w:tc>
        <w:tc>
          <w:tcPr>
            <w:tcW w:w="340" w:type="dxa"/>
            <w:noWrap w:val="0"/>
            <w:vAlign w:val="center"/>
          </w:tcPr>
          <w:p>
            <w:pPr>
              <w:widowControl/>
              <w:spacing w:line="200" w:lineRule="exact"/>
              <w:contextualSpacing/>
              <w:jc w:val="center"/>
              <w:rPr>
                <w:kern w:val="0"/>
                <w:sz w:val="15"/>
                <w:szCs w:val="15"/>
              </w:rPr>
            </w:pPr>
            <w:r>
              <w:rPr>
                <w:kern w:val="0"/>
                <w:sz w:val="15"/>
                <w:szCs w:val="15"/>
              </w:rPr>
              <w:t>　</w:t>
            </w:r>
          </w:p>
        </w:tc>
        <w:tc>
          <w:tcPr>
            <w:tcW w:w="340" w:type="dxa"/>
            <w:noWrap w:val="0"/>
            <w:vAlign w:val="center"/>
          </w:tcPr>
          <w:p>
            <w:pPr>
              <w:widowControl/>
              <w:spacing w:line="200" w:lineRule="exact"/>
              <w:contextualSpacing/>
              <w:jc w:val="center"/>
              <w:rPr>
                <w:kern w:val="0"/>
                <w:sz w:val="15"/>
                <w:szCs w:val="15"/>
              </w:rPr>
            </w:pPr>
            <w:r>
              <w:rPr>
                <w:kern w:val="0"/>
                <w:sz w:val="15"/>
                <w:szCs w:val="15"/>
              </w:rPr>
              <w:t>　</w:t>
            </w:r>
          </w:p>
        </w:tc>
        <w:tc>
          <w:tcPr>
            <w:tcW w:w="340" w:type="dxa"/>
            <w:noWrap w:val="0"/>
            <w:vAlign w:val="center"/>
          </w:tcPr>
          <w:p>
            <w:pPr>
              <w:widowControl/>
              <w:spacing w:line="200" w:lineRule="exact"/>
              <w:contextualSpacing/>
              <w:jc w:val="center"/>
              <w:rPr>
                <w:kern w:val="0"/>
                <w:sz w:val="15"/>
                <w:szCs w:val="15"/>
              </w:rPr>
            </w:pPr>
            <w:r>
              <w:rPr>
                <w:kern w:val="0"/>
                <w:sz w:val="15"/>
                <w:szCs w:val="15"/>
              </w:rPr>
              <w:t>　</w:t>
            </w:r>
          </w:p>
        </w:tc>
        <w:tc>
          <w:tcPr>
            <w:tcW w:w="340" w:type="dxa"/>
            <w:noWrap w:val="0"/>
            <w:vAlign w:val="center"/>
          </w:tcPr>
          <w:p>
            <w:pPr>
              <w:widowControl/>
              <w:spacing w:line="200" w:lineRule="exact"/>
              <w:contextualSpacing/>
              <w:jc w:val="center"/>
              <w:rPr>
                <w:kern w:val="0"/>
                <w:sz w:val="15"/>
                <w:szCs w:val="15"/>
              </w:rPr>
            </w:pPr>
            <w:r>
              <w:rPr>
                <w:kern w:val="0"/>
                <w:sz w:val="15"/>
                <w:szCs w:val="15"/>
              </w:rPr>
              <w:t>√</w:t>
            </w:r>
          </w:p>
        </w:tc>
        <w:tc>
          <w:tcPr>
            <w:tcW w:w="1879" w:type="dxa"/>
            <w:noWrap w:val="0"/>
            <w:vAlign w:val="center"/>
          </w:tcPr>
          <w:p>
            <w:pPr>
              <w:widowControl/>
              <w:spacing w:line="200" w:lineRule="exact"/>
              <w:contextualSpacing/>
              <w:rPr>
                <w:kern w:val="0"/>
                <w:sz w:val="15"/>
                <w:szCs w:val="15"/>
              </w:rPr>
            </w:pPr>
            <w:r>
              <w:rPr>
                <w:kern w:val="0"/>
                <w:sz w:val="15"/>
                <w:szCs w:val="15"/>
              </w:rPr>
              <w:t>1.实现申请、审批全程网上办理。2.不再要求地质勘探单位提供地质勘查资质证书复印件，不再要求从事爆破作业的金属非金属矿山、地质勘查和采掘施工单位提供爆破作业单位许可证复印件。</w:t>
            </w:r>
          </w:p>
        </w:tc>
        <w:tc>
          <w:tcPr>
            <w:tcW w:w="2776" w:type="dxa"/>
            <w:noWrap w:val="0"/>
            <w:vAlign w:val="center"/>
          </w:tcPr>
          <w:p>
            <w:pPr>
              <w:widowControl/>
              <w:spacing w:line="200" w:lineRule="exact"/>
              <w:contextualSpacing/>
              <w:rPr>
                <w:kern w:val="0"/>
                <w:sz w:val="15"/>
                <w:szCs w:val="15"/>
              </w:rPr>
            </w:pPr>
            <w:r>
              <w:rPr>
                <w:kern w:val="0"/>
                <w:sz w:val="15"/>
                <w:szCs w:val="15"/>
              </w:rPr>
              <w:t>1.强化陆上石油天然气开采企业作为发包单位的主体责任，由发包单位将陆上石油天然气钻井、物探、测井、录井、井下作业、油建企业纳入统一管理。2.加强信用监管，健全非煤矿山企业安全生产黑名单制度，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jc w:val="center"/>
        </w:trPr>
        <w:tc>
          <w:tcPr>
            <w:tcW w:w="518" w:type="dxa"/>
            <w:noWrap w:val="0"/>
            <w:vAlign w:val="center"/>
          </w:tcPr>
          <w:p>
            <w:pPr>
              <w:widowControl/>
              <w:spacing w:line="200" w:lineRule="exact"/>
              <w:contextualSpacing/>
              <w:jc w:val="center"/>
              <w:rPr>
                <w:kern w:val="0"/>
                <w:sz w:val="15"/>
                <w:szCs w:val="15"/>
              </w:rPr>
            </w:pPr>
            <w:r>
              <w:rPr>
                <w:kern w:val="0"/>
                <w:sz w:val="15"/>
                <w:szCs w:val="15"/>
              </w:rPr>
              <w:t>293</w:t>
            </w:r>
          </w:p>
        </w:tc>
        <w:tc>
          <w:tcPr>
            <w:tcW w:w="567" w:type="dxa"/>
            <w:noWrap w:val="0"/>
            <w:vAlign w:val="center"/>
          </w:tcPr>
          <w:p>
            <w:pPr>
              <w:widowControl/>
              <w:spacing w:line="200" w:lineRule="exact"/>
              <w:contextualSpacing/>
              <w:rPr>
                <w:kern w:val="0"/>
                <w:sz w:val="15"/>
                <w:szCs w:val="15"/>
              </w:rPr>
            </w:pPr>
            <w:r>
              <w:rPr>
                <w:kern w:val="0"/>
                <w:sz w:val="15"/>
                <w:szCs w:val="15"/>
              </w:rPr>
              <w:t>应急</w:t>
            </w:r>
            <w:r>
              <w:rPr>
                <w:rFonts w:hint="eastAsia"/>
                <w:kern w:val="0"/>
                <w:sz w:val="15"/>
                <w:szCs w:val="15"/>
              </w:rPr>
              <w:t>管理</w:t>
            </w:r>
            <w:r>
              <w:rPr>
                <w:kern w:val="0"/>
                <w:sz w:val="15"/>
                <w:szCs w:val="15"/>
              </w:rPr>
              <w:t>部</w:t>
            </w:r>
          </w:p>
        </w:tc>
        <w:tc>
          <w:tcPr>
            <w:tcW w:w="851" w:type="dxa"/>
            <w:noWrap w:val="0"/>
            <w:vAlign w:val="center"/>
          </w:tcPr>
          <w:p>
            <w:pPr>
              <w:widowControl/>
              <w:spacing w:line="200" w:lineRule="exact"/>
              <w:contextualSpacing/>
              <w:rPr>
                <w:kern w:val="0"/>
                <w:sz w:val="15"/>
                <w:szCs w:val="15"/>
              </w:rPr>
            </w:pPr>
            <w:r>
              <w:rPr>
                <w:kern w:val="0"/>
                <w:sz w:val="15"/>
                <w:szCs w:val="15"/>
              </w:rPr>
              <w:t>海洋石油天然气企业安全生产许可</w:t>
            </w:r>
          </w:p>
        </w:tc>
        <w:tc>
          <w:tcPr>
            <w:tcW w:w="850" w:type="dxa"/>
            <w:noWrap w:val="0"/>
            <w:vAlign w:val="center"/>
          </w:tcPr>
          <w:p>
            <w:pPr>
              <w:widowControl/>
              <w:spacing w:line="200" w:lineRule="exact"/>
              <w:contextualSpacing/>
              <w:jc w:val="left"/>
              <w:rPr>
                <w:kern w:val="0"/>
                <w:sz w:val="15"/>
                <w:szCs w:val="15"/>
              </w:rPr>
            </w:pPr>
            <w:r>
              <w:rPr>
                <w:kern w:val="0"/>
                <w:sz w:val="15"/>
                <w:szCs w:val="15"/>
              </w:rPr>
              <w:t>安全生产许可证（非煤矿山）</w:t>
            </w:r>
          </w:p>
        </w:tc>
        <w:tc>
          <w:tcPr>
            <w:tcW w:w="835" w:type="dxa"/>
            <w:noWrap w:val="0"/>
            <w:vAlign w:val="center"/>
          </w:tcPr>
          <w:p>
            <w:pPr>
              <w:widowControl/>
              <w:spacing w:line="200" w:lineRule="exact"/>
              <w:contextualSpacing/>
              <w:rPr>
                <w:kern w:val="0"/>
                <w:sz w:val="15"/>
                <w:szCs w:val="15"/>
              </w:rPr>
            </w:pPr>
            <w:r>
              <w:rPr>
                <w:kern w:val="0"/>
                <w:sz w:val="15"/>
                <w:szCs w:val="15"/>
              </w:rPr>
              <w:t>《安全生产许可证条例》</w:t>
            </w:r>
          </w:p>
        </w:tc>
        <w:tc>
          <w:tcPr>
            <w:tcW w:w="850" w:type="dxa"/>
            <w:noWrap w:val="0"/>
            <w:vAlign w:val="center"/>
          </w:tcPr>
          <w:p>
            <w:pPr>
              <w:widowControl/>
              <w:spacing w:line="200" w:lineRule="exact"/>
              <w:contextualSpacing/>
              <w:jc w:val="left"/>
              <w:rPr>
                <w:kern w:val="0"/>
                <w:sz w:val="15"/>
                <w:szCs w:val="15"/>
              </w:rPr>
            </w:pPr>
            <w:r>
              <w:rPr>
                <w:kern w:val="0"/>
                <w:sz w:val="15"/>
                <w:szCs w:val="15"/>
              </w:rPr>
              <w:t>应急</w:t>
            </w:r>
            <w:r>
              <w:rPr>
                <w:rFonts w:hint="eastAsia"/>
                <w:kern w:val="0"/>
                <w:sz w:val="15"/>
                <w:szCs w:val="15"/>
              </w:rPr>
              <w:t>管理</w:t>
            </w:r>
            <w:r>
              <w:rPr>
                <w:kern w:val="0"/>
                <w:sz w:val="15"/>
                <w:szCs w:val="15"/>
              </w:rPr>
              <w:t>部</w:t>
            </w:r>
          </w:p>
        </w:tc>
        <w:tc>
          <w:tcPr>
            <w:tcW w:w="340" w:type="dxa"/>
            <w:noWrap w:val="0"/>
            <w:vAlign w:val="bottom"/>
          </w:tcPr>
          <w:p>
            <w:pPr>
              <w:widowControl/>
              <w:spacing w:line="200" w:lineRule="exact"/>
              <w:contextualSpacing/>
              <w:jc w:val="center"/>
              <w:rPr>
                <w:kern w:val="0"/>
                <w:sz w:val="15"/>
                <w:szCs w:val="15"/>
              </w:rPr>
            </w:pPr>
            <w:r>
              <w:rPr>
                <w:kern w:val="0"/>
                <w:sz w:val="15"/>
                <w:szCs w:val="15"/>
              </w:rPr>
              <w:t>　</w:t>
            </w:r>
          </w:p>
        </w:tc>
        <w:tc>
          <w:tcPr>
            <w:tcW w:w="340" w:type="dxa"/>
            <w:noWrap w:val="0"/>
            <w:vAlign w:val="center"/>
          </w:tcPr>
          <w:p>
            <w:pPr>
              <w:widowControl/>
              <w:spacing w:line="200" w:lineRule="exact"/>
              <w:contextualSpacing/>
              <w:jc w:val="center"/>
              <w:rPr>
                <w:kern w:val="0"/>
                <w:sz w:val="15"/>
                <w:szCs w:val="15"/>
              </w:rPr>
            </w:pPr>
            <w:r>
              <w:rPr>
                <w:kern w:val="0"/>
                <w:sz w:val="15"/>
                <w:szCs w:val="15"/>
              </w:rPr>
              <w:t>　</w:t>
            </w:r>
          </w:p>
        </w:tc>
        <w:tc>
          <w:tcPr>
            <w:tcW w:w="340" w:type="dxa"/>
            <w:noWrap w:val="0"/>
            <w:vAlign w:val="center"/>
          </w:tcPr>
          <w:p>
            <w:pPr>
              <w:widowControl/>
              <w:spacing w:line="200" w:lineRule="exact"/>
              <w:contextualSpacing/>
              <w:jc w:val="center"/>
              <w:rPr>
                <w:kern w:val="0"/>
                <w:sz w:val="15"/>
                <w:szCs w:val="15"/>
              </w:rPr>
            </w:pPr>
            <w:r>
              <w:rPr>
                <w:kern w:val="0"/>
                <w:sz w:val="15"/>
                <w:szCs w:val="15"/>
              </w:rPr>
              <w:t>　</w:t>
            </w:r>
          </w:p>
        </w:tc>
        <w:tc>
          <w:tcPr>
            <w:tcW w:w="340" w:type="dxa"/>
            <w:noWrap w:val="0"/>
            <w:vAlign w:val="center"/>
          </w:tcPr>
          <w:p>
            <w:pPr>
              <w:widowControl/>
              <w:spacing w:line="200" w:lineRule="exact"/>
              <w:contextualSpacing/>
              <w:jc w:val="center"/>
              <w:rPr>
                <w:kern w:val="0"/>
                <w:sz w:val="15"/>
                <w:szCs w:val="15"/>
              </w:rPr>
            </w:pPr>
            <w:r>
              <w:rPr>
                <w:kern w:val="0"/>
                <w:sz w:val="15"/>
                <w:szCs w:val="15"/>
              </w:rPr>
              <w:t>√</w:t>
            </w:r>
          </w:p>
        </w:tc>
        <w:tc>
          <w:tcPr>
            <w:tcW w:w="1879" w:type="dxa"/>
            <w:noWrap w:val="0"/>
            <w:vAlign w:val="center"/>
          </w:tcPr>
          <w:p>
            <w:pPr>
              <w:widowControl/>
              <w:spacing w:line="200" w:lineRule="exact"/>
              <w:contextualSpacing/>
              <w:rPr>
                <w:kern w:val="0"/>
                <w:sz w:val="15"/>
                <w:szCs w:val="15"/>
              </w:rPr>
            </w:pPr>
            <w:r>
              <w:rPr>
                <w:kern w:val="0"/>
                <w:sz w:val="15"/>
                <w:szCs w:val="15"/>
              </w:rPr>
              <w:t>1.实现申请、审批全程网上办理。2.不再要求申请人提交海洋石油特种设备合格检测报告并取得安全使用证或安全标志。</w:t>
            </w:r>
          </w:p>
        </w:tc>
        <w:tc>
          <w:tcPr>
            <w:tcW w:w="2776" w:type="dxa"/>
            <w:noWrap w:val="0"/>
            <w:vAlign w:val="center"/>
          </w:tcPr>
          <w:p>
            <w:pPr>
              <w:widowControl/>
              <w:spacing w:line="200" w:lineRule="exact"/>
              <w:contextualSpacing/>
              <w:rPr>
                <w:kern w:val="0"/>
                <w:sz w:val="15"/>
                <w:szCs w:val="15"/>
              </w:rPr>
            </w:pPr>
            <w:r>
              <w:rPr>
                <w:kern w:val="0"/>
                <w:sz w:val="15"/>
                <w:szCs w:val="15"/>
              </w:rPr>
              <w:t>1.强化海上石油生产设施设备的建造、安装、使用发证检验制度，指导第三方中介机构开展自律管理。2.压实企业安全生产主体责任，强化自身日常监督检查，及时查处违法违规行为。3.强化对从事海洋石油生产企业的安全监管，发现问题依法严肃查处。4.健全安全生产黑名单制度，对失信</w:t>
            </w:r>
            <w:r>
              <w:rPr>
                <w:rFonts w:hint="eastAsia"/>
                <w:kern w:val="0"/>
                <w:sz w:val="15"/>
                <w:szCs w:val="15"/>
              </w:rPr>
              <w:t>企业</w:t>
            </w:r>
            <w:r>
              <w:rPr>
                <w:kern w:val="0"/>
                <w:sz w:val="15"/>
                <w:szCs w:val="15"/>
              </w:rPr>
              <w:t>及其有关人员开展联合惩戒。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18" w:type="dxa"/>
            <w:noWrap w:val="0"/>
            <w:vAlign w:val="center"/>
          </w:tcPr>
          <w:p>
            <w:pPr>
              <w:widowControl/>
              <w:spacing w:line="200" w:lineRule="exact"/>
              <w:contextualSpacing/>
              <w:jc w:val="center"/>
              <w:rPr>
                <w:kern w:val="0"/>
                <w:sz w:val="15"/>
                <w:szCs w:val="15"/>
              </w:rPr>
            </w:pPr>
            <w:r>
              <w:rPr>
                <w:kern w:val="0"/>
                <w:sz w:val="15"/>
                <w:szCs w:val="15"/>
              </w:rPr>
              <w:t>294</w:t>
            </w:r>
          </w:p>
        </w:tc>
        <w:tc>
          <w:tcPr>
            <w:tcW w:w="567" w:type="dxa"/>
            <w:noWrap w:val="0"/>
            <w:vAlign w:val="center"/>
          </w:tcPr>
          <w:p>
            <w:pPr>
              <w:widowControl/>
              <w:spacing w:line="200" w:lineRule="exact"/>
              <w:contextualSpacing/>
              <w:rPr>
                <w:kern w:val="0"/>
                <w:sz w:val="15"/>
                <w:szCs w:val="15"/>
              </w:rPr>
            </w:pPr>
            <w:r>
              <w:rPr>
                <w:kern w:val="0"/>
                <w:sz w:val="15"/>
                <w:szCs w:val="15"/>
              </w:rPr>
              <w:t>应急</w:t>
            </w:r>
            <w:r>
              <w:rPr>
                <w:rFonts w:hint="eastAsia"/>
                <w:kern w:val="0"/>
                <w:sz w:val="15"/>
                <w:szCs w:val="15"/>
              </w:rPr>
              <w:t>管理</w:t>
            </w:r>
            <w:r>
              <w:rPr>
                <w:kern w:val="0"/>
                <w:sz w:val="15"/>
                <w:szCs w:val="15"/>
              </w:rPr>
              <w:t>部</w:t>
            </w:r>
          </w:p>
        </w:tc>
        <w:tc>
          <w:tcPr>
            <w:tcW w:w="851" w:type="dxa"/>
            <w:noWrap w:val="0"/>
            <w:vAlign w:val="center"/>
          </w:tcPr>
          <w:p>
            <w:pPr>
              <w:widowControl/>
              <w:spacing w:line="200" w:lineRule="exact"/>
              <w:contextualSpacing/>
              <w:rPr>
                <w:kern w:val="0"/>
                <w:sz w:val="15"/>
                <w:szCs w:val="15"/>
              </w:rPr>
            </w:pPr>
            <w:r>
              <w:rPr>
                <w:kern w:val="0"/>
                <w:sz w:val="15"/>
                <w:szCs w:val="15"/>
              </w:rPr>
              <w:t>烟花爆竹生产企业安全生产许可证核发</w:t>
            </w:r>
          </w:p>
        </w:tc>
        <w:tc>
          <w:tcPr>
            <w:tcW w:w="850" w:type="dxa"/>
            <w:noWrap w:val="0"/>
            <w:vAlign w:val="center"/>
          </w:tcPr>
          <w:p>
            <w:pPr>
              <w:widowControl/>
              <w:spacing w:line="200" w:lineRule="exact"/>
              <w:contextualSpacing/>
              <w:jc w:val="left"/>
              <w:rPr>
                <w:kern w:val="0"/>
                <w:sz w:val="15"/>
                <w:szCs w:val="15"/>
              </w:rPr>
            </w:pPr>
            <w:r>
              <w:rPr>
                <w:kern w:val="0"/>
                <w:sz w:val="15"/>
                <w:szCs w:val="15"/>
              </w:rPr>
              <w:t>烟花爆竹生产企业安全生产许可证</w:t>
            </w:r>
          </w:p>
        </w:tc>
        <w:tc>
          <w:tcPr>
            <w:tcW w:w="835" w:type="dxa"/>
            <w:noWrap w:val="0"/>
            <w:vAlign w:val="center"/>
          </w:tcPr>
          <w:p>
            <w:pPr>
              <w:widowControl/>
              <w:spacing w:line="200" w:lineRule="exact"/>
              <w:contextualSpacing/>
              <w:rPr>
                <w:kern w:val="0"/>
                <w:sz w:val="15"/>
                <w:szCs w:val="15"/>
              </w:rPr>
            </w:pPr>
            <w:r>
              <w:rPr>
                <w:kern w:val="0"/>
                <w:sz w:val="15"/>
                <w:szCs w:val="15"/>
              </w:rPr>
              <w:t>《安全生产许可证条例》</w:t>
            </w:r>
          </w:p>
        </w:tc>
        <w:tc>
          <w:tcPr>
            <w:tcW w:w="850" w:type="dxa"/>
            <w:noWrap w:val="0"/>
            <w:vAlign w:val="center"/>
          </w:tcPr>
          <w:p>
            <w:pPr>
              <w:widowControl/>
              <w:spacing w:line="200" w:lineRule="exact"/>
              <w:contextualSpacing/>
              <w:jc w:val="left"/>
              <w:rPr>
                <w:kern w:val="0"/>
                <w:sz w:val="15"/>
                <w:szCs w:val="15"/>
              </w:rPr>
            </w:pPr>
            <w:r>
              <w:rPr>
                <w:kern w:val="0"/>
                <w:sz w:val="15"/>
                <w:szCs w:val="15"/>
              </w:rPr>
              <w:t>省级应急管理部门</w:t>
            </w:r>
          </w:p>
        </w:tc>
        <w:tc>
          <w:tcPr>
            <w:tcW w:w="340" w:type="dxa"/>
            <w:noWrap w:val="0"/>
            <w:vAlign w:val="center"/>
          </w:tcPr>
          <w:p>
            <w:pPr>
              <w:widowControl/>
              <w:spacing w:line="200" w:lineRule="exact"/>
              <w:contextualSpacing/>
              <w:jc w:val="center"/>
              <w:rPr>
                <w:kern w:val="0"/>
                <w:sz w:val="15"/>
                <w:szCs w:val="15"/>
              </w:rPr>
            </w:pPr>
            <w:r>
              <w:rPr>
                <w:kern w:val="0"/>
                <w:sz w:val="15"/>
                <w:szCs w:val="15"/>
              </w:rPr>
              <w:t>　</w:t>
            </w:r>
          </w:p>
        </w:tc>
        <w:tc>
          <w:tcPr>
            <w:tcW w:w="340" w:type="dxa"/>
            <w:noWrap w:val="0"/>
            <w:vAlign w:val="center"/>
          </w:tcPr>
          <w:p>
            <w:pPr>
              <w:widowControl/>
              <w:spacing w:line="200" w:lineRule="exact"/>
              <w:contextualSpacing/>
              <w:jc w:val="center"/>
              <w:rPr>
                <w:kern w:val="0"/>
                <w:sz w:val="15"/>
                <w:szCs w:val="15"/>
              </w:rPr>
            </w:pPr>
            <w:r>
              <w:rPr>
                <w:kern w:val="0"/>
                <w:sz w:val="15"/>
                <w:szCs w:val="15"/>
              </w:rPr>
              <w:t>　</w:t>
            </w:r>
          </w:p>
        </w:tc>
        <w:tc>
          <w:tcPr>
            <w:tcW w:w="340" w:type="dxa"/>
            <w:noWrap w:val="0"/>
            <w:vAlign w:val="center"/>
          </w:tcPr>
          <w:p>
            <w:pPr>
              <w:widowControl/>
              <w:spacing w:line="200" w:lineRule="exact"/>
              <w:contextualSpacing/>
              <w:jc w:val="center"/>
              <w:rPr>
                <w:kern w:val="0"/>
                <w:sz w:val="15"/>
                <w:szCs w:val="15"/>
              </w:rPr>
            </w:pPr>
            <w:r>
              <w:rPr>
                <w:kern w:val="0"/>
                <w:sz w:val="15"/>
                <w:szCs w:val="15"/>
              </w:rPr>
              <w:t>　</w:t>
            </w:r>
          </w:p>
        </w:tc>
        <w:tc>
          <w:tcPr>
            <w:tcW w:w="340" w:type="dxa"/>
            <w:noWrap w:val="0"/>
            <w:vAlign w:val="center"/>
          </w:tcPr>
          <w:p>
            <w:pPr>
              <w:widowControl/>
              <w:spacing w:line="200" w:lineRule="exact"/>
              <w:contextualSpacing/>
              <w:jc w:val="center"/>
              <w:rPr>
                <w:kern w:val="0"/>
                <w:sz w:val="15"/>
                <w:szCs w:val="15"/>
              </w:rPr>
            </w:pPr>
            <w:r>
              <w:rPr>
                <w:kern w:val="0"/>
                <w:sz w:val="15"/>
                <w:szCs w:val="15"/>
              </w:rPr>
              <w:t>√</w:t>
            </w:r>
          </w:p>
        </w:tc>
        <w:tc>
          <w:tcPr>
            <w:tcW w:w="1879" w:type="dxa"/>
            <w:noWrap w:val="0"/>
            <w:vAlign w:val="center"/>
          </w:tcPr>
          <w:p>
            <w:pPr>
              <w:widowControl/>
              <w:spacing w:line="200" w:lineRule="exact"/>
              <w:contextualSpacing/>
              <w:rPr>
                <w:kern w:val="0"/>
                <w:sz w:val="15"/>
                <w:szCs w:val="15"/>
              </w:rPr>
            </w:pPr>
            <w:r>
              <w:rPr>
                <w:kern w:val="0"/>
                <w:sz w:val="15"/>
                <w:szCs w:val="15"/>
              </w:rPr>
              <w:t>1.实现申请、审批全程网上办理。2.将审批时限由45个工作日压减至30个工作日。</w:t>
            </w:r>
          </w:p>
        </w:tc>
        <w:tc>
          <w:tcPr>
            <w:tcW w:w="2776" w:type="dxa"/>
            <w:noWrap w:val="0"/>
            <w:vAlign w:val="center"/>
          </w:tcPr>
          <w:p>
            <w:pPr>
              <w:widowControl/>
              <w:spacing w:line="200" w:lineRule="exact"/>
              <w:contextualSpacing/>
              <w:rPr>
                <w:kern w:val="0"/>
                <w:sz w:val="15"/>
                <w:szCs w:val="15"/>
              </w:rPr>
            </w:pPr>
            <w:r>
              <w:rPr>
                <w:kern w:val="0"/>
                <w:sz w:val="15"/>
                <w:szCs w:val="15"/>
              </w:rPr>
              <w:t>1.开展“双随机、一公开”监管，发现违法违规行为要依法严查重处并公开结果。2.加强信用监管，向社会公布烟花爆竹生产企业信用状况，对失信主体开展联合惩戒。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518" w:type="dxa"/>
            <w:noWrap w:val="0"/>
            <w:vAlign w:val="center"/>
          </w:tcPr>
          <w:p>
            <w:pPr>
              <w:widowControl/>
              <w:spacing w:line="200" w:lineRule="exact"/>
              <w:contextualSpacing/>
              <w:jc w:val="center"/>
              <w:rPr>
                <w:kern w:val="0"/>
                <w:sz w:val="15"/>
                <w:szCs w:val="15"/>
              </w:rPr>
            </w:pPr>
            <w:r>
              <w:rPr>
                <w:kern w:val="0"/>
                <w:sz w:val="15"/>
                <w:szCs w:val="15"/>
              </w:rPr>
              <w:t>295</w:t>
            </w:r>
          </w:p>
        </w:tc>
        <w:tc>
          <w:tcPr>
            <w:tcW w:w="567" w:type="dxa"/>
            <w:noWrap w:val="0"/>
            <w:vAlign w:val="center"/>
          </w:tcPr>
          <w:p>
            <w:pPr>
              <w:widowControl/>
              <w:spacing w:line="200" w:lineRule="exact"/>
              <w:contextualSpacing/>
              <w:rPr>
                <w:kern w:val="0"/>
                <w:sz w:val="15"/>
                <w:szCs w:val="15"/>
              </w:rPr>
            </w:pPr>
            <w:r>
              <w:rPr>
                <w:kern w:val="0"/>
                <w:sz w:val="15"/>
                <w:szCs w:val="15"/>
              </w:rPr>
              <w:t>应急</w:t>
            </w:r>
            <w:r>
              <w:rPr>
                <w:rFonts w:hint="eastAsia"/>
                <w:kern w:val="0"/>
                <w:sz w:val="15"/>
                <w:szCs w:val="15"/>
              </w:rPr>
              <w:t>管理</w:t>
            </w:r>
            <w:r>
              <w:rPr>
                <w:kern w:val="0"/>
                <w:sz w:val="15"/>
                <w:szCs w:val="15"/>
              </w:rPr>
              <w:t>部</w:t>
            </w:r>
          </w:p>
        </w:tc>
        <w:tc>
          <w:tcPr>
            <w:tcW w:w="851" w:type="dxa"/>
            <w:noWrap w:val="0"/>
            <w:vAlign w:val="center"/>
          </w:tcPr>
          <w:p>
            <w:pPr>
              <w:widowControl/>
              <w:spacing w:line="200" w:lineRule="exact"/>
              <w:contextualSpacing/>
              <w:rPr>
                <w:kern w:val="0"/>
                <w:sz w:val="15"/>
                <w:szCs w:val="15"/>
              </w:rPr>
            </w:pPr>
            <w:r>
              <w:rPr>
                <w:kern w:val="0"/>
                <w:sz w:val="15"/>
                <w:szCs w:val="15"/>
              </w:rPr>
              <w:t>烟花爆竹经营（批发）许可证核发</w:t>
            </w:r>
          </w:p>
        </w:tc>
        <w:tc>
          <w:tcPr>
            <w:tcW w:w="850" w:type="dxa"/>
            <w:noWrap w:val="0"/>
            <w:vAlign w:val="center"/>
          </w:tcPr>
          <w:p>
            <w:pPr>
              <w:widowControl/>
              <w:spacing w:line="200" w:lineRule="exact"/>
              <w:contextualSpacing/>
              <w:jc w:val="left"/>
              <w:rPr>
                <w:kern w:val="0"/>
                <w:sz w:val="15"/>
                <w:szCs w:val="15"/>
              </w:rPr>
            </w:pPr>
            <w:r>
              <w:rPr>
                <w:kern w:val="0"/>
                <w:sz w:val="15"/>
                <w:szCs w:val="15"/>
              </w:rPr>
              <w:t>烟花爆竹经营（批发）许可证</w:t>
            </w:r>
          </w:p>
        </w:tc>
        <w:tc>
          <w:tcPr>
            <w:tcW w:w="835" w:type="dxa"/>
            <w:noWrap w:val="0"/>
            <w:vAlign w:val="center"/>
          </w:tcPr>
          <w:p>
            <w:pPr>
              <w:widowControl/>
              <w:spacing w:line="200" w:lineRule="exact"/>
              <w:contextualSpacing/>
              <w:rPr>
                <w:kern w:val="0"/>
                <w:sz w:val="15"/>
                <w:szCs w:val="15"/>
              </w:rPr>
            </w:pPr>
            <w:r>
              <w:rPr>
                <w:kern w:val="0"/>
                <w:sz w:val="15"/>
                <w:szCs w:val="15"/>
              </w:rPr>
              <w:t>《烟花爆竹安全管理条例》</w:t>
            </w:r>
          </w:p>
        </w:tc>
        <w:tc>
          <w:tcPr>
            <w:tcW w:w="850" w:type="dxa"/>
            <w:noWrap w:val="0"/>
            <w:vAlign w:val="center"/>
          </w:tcPr>
          <w:p>
            <w:pPr>
              <w:widowControl/>
              <w:spacing w:line="200" w:lineRule="exact"/>
              <w:contextualSpacing/>
              <w:jc w:val="left"/>
              <w:rPr>
                <w:kern w:val="0"/>
                <w:sz w:val="15"/>
                <w:szCs w:val="15"/>
              </w:rPr>
            </w:pPr>
            <w:r>
              <w:rPr>
                <w:kern w:val="0"/>
                <w:sz w:val="15"/>
                <w:szCs w:val="15"/>
              </w:rPr>
              <w:t>设区的市级应急管理部门</w:t>
            </w:r>
          </w:p>
        </w:tc>
        <w:tc>
          <w:tcPr>
            <w:tcW w:w="340" w:type="dxa"/>
            <w:noWrap w:val="0"/>
            <w:vAlign w:val="center"/>
          </w:tcPr>
          <w:p>
            <w:pPr>
              <w:widowControl/>
              <w:spacing w:line="200" w:lineRule="exact"/>
              <w:contextualSpacing/>
              <w:jc w:val="center"/>
              <w:rPr>
                <w:kern w:val="0"/>
                <w:sz w:val="15"/>
                <w:szCs w:val="15"/>
              </w:rPr>
            </w:pPr>
            <w:r>
              <w:rPr>
                <w:kern w:val="0"/>
                <w:sz w:val="15"/>
                <w:szCs w:val="15"/>
              </w:rPr>
              <w:t>　</w:t>
            </w:r>
          </w:p>
        </w:tc>
        <w:tc>
          <w:tcPr>
            <w:tcW w:w="340" w:type="dxa"/>
            <w:noWrap w:val="0"/>
            <w:vAlign w:val="center"/>
          </w:tcPr>
          <w:p>
            <w:pPr>
              <w:widowControl/>
              <w:spacing w:line="200" w:lineRule="exact"/>
              <w:contextualSpacing/>
              <w:jc w:val="center"/>
              <w:rPr>
                <w:kern w:val="0"/>
                <w:sz w:val="15"/>
                <w:szCs w:val="15"/>
              </w:rPr>
            </w:pPr>
            <w:r>
              <w:rPr>
                <w:kern w:val="0"/>
                <w:sz w:val="15"/>
                <w:szCs w:val="15"/>
              </w:rPr>
              <w:t>　</w:t>
            </w:r>
          </w:p>
        </w:tc>
        <w:tc>
          <w:tcPr>
            <w:tcW w:w="340" w:type="dxa"/>
            <w:noWrap w:val="0"/>
            <w:vAlign w:val="center"/>
          </w:tcPr>
          <w:p>
            <w:pPr>
              <w:widowControl/>
              <w:spacing w:line="200" w:lineRule="exact"/>
              <w:contextualSpacing/>
              <w:jc w:val="center"/>
              <w:rPr>
                <w:kern w:val="0"/>
                <w:sz w:val="15"/>
                <w:szCs w:val="15"/>
              </w:rPr>
            </w:pPr>
            <w:r>
              <w:rPr>
                <w:kern w:val="0"/>
                <w:sz w:val="15"/>
                <w:szCs w:val="15"/>
              </w:rPr>
              <w:t>　</w:t>
            </w:r>
          </w:p>
        </w:tc>
        <w:tc>
          <w:tcPr>
            <w:tcW w:w="340" w:type="dxa"/>
            <w:noWrap w:val="0"/>
            <w:vAlign w:val="center"/>
          </w:tcPr>
          <w:p>
            <w:pPr>
              <w:widowControl/>
              <w:spacing w:line="200" w:lineRule="exact"/>
              <w:contextualSpacing/>
              <w:jc w:val="center"/>
              <w:rPr>
                <w:kern w:val="0"/>
                <w:sz w:val="15"/>
                <w:szCs w:val="15"/>
              </w:rPr>
            </w:pPr>
            <w:r>
              <w:rPr>
                <w:kern w:val="0"/>
                <w:sz w:val="15"/>
                <w:szCs w:val="15"/>
              </w:rPr>
              <w:t>√</w:t>
            </w:r>
          </w:p>
        </w:tc>
        <w:tc>
          <w:tcPr>
            <w:tcW w:w="1879" w:type="dxa"/>
            <w:noWrap w:val="0"/>
            <w:vAlign w:val="center"/>
          </w:tcPr>
          <w:p>
            <w:pPr>
              <w:widowControl/>
              <w:spacing w:line="200" w:lineRule="exact"/>
              <w:contextualSpacing/>
              <w:rPr>
                <w:kern w:val="0"/>
                <w:sz w:val="15"/>
                <w:szCs w:val="15"/>
              </w:rPr>
            </w:pPr>
            <w:r>
              <w:rPr>
                <w:kern w:val="0"/>
                <w:sz w:val="15"/>
                <w:szCs w:val="15"/>
              </w:rPr>
              <w:t>1.实现申请、审批全程网上办理。2.将审批时限由30个工作日压减至20个工作日。</w:t>
            </w:r>
          </w:p>
        </w:tc>
        <w:tc>
          <w:tcPr>
            <w:tcW w:w="2776" w:type="dxa"/>
            <w:noWrap w:val="0"/>
            <w:vAlign w:val="center"/>
          </w:tcPr>
          <w:p>
            <w:pPr>
              <w:widowControl/>
              <w:spacing w:line="200" w:lineRule="exact"/>
              <w:contextualSpacing/>
              <w:rPr>
                <w:kern w:val="0"/>
                <w:sz w:val="15"/>
                <w:szCs w:val="15"/>
              </w:rPr>
            </w:pPr>
            <w:r>
              <w:rPr>
                <w:kern w:val="0"/>
                <w:sz w:val="15"/>
                <w:szCs w:val="15"/>
              </w:rPr>
              <w:t>1.开展“双随机、一公开”监管，发现违法违规行为依法严查重处并公开结果。2.加强信用监管，向社会公布烟花爆竹经营（批发）企业信用状况，对失信主体开展联合惩戒。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518" w:type="dxa"/>
            <w:noWrap w:val="0"/>
            <w:vAlign w:val="center"/>
          </w:tcPr>
          <w:p>
            <w:pPr>
              <w:widowControl/>
              <w:spacing w:line="200" w:lineRule="exact"/>
              <w:contextualSpacing/>
              <w:jc w:val="center"/>
              <w:rPr>
                <w:kern w:val="0"/>
                <w:sz w:val="15"/>
                <w:szCs w:val="15"/>
              </w:rPr>
            </w:pPr>
            <w:r>
              <w:rPr>
                <w:kern w:val="0"/>
                <w:sz w:val="15"/>
                <w:szCs w:val="15"/>
              </w:rPr>
              <w:t>296</w:t>
            </w:r>
          </w:p>
        </w:tc>
        <w:tc>
          <w:tcPr>
            <w:tcW w:w="567" w:type="dxa"/>
            <w:noWrap w:val="0"/>
            <w:vAlign w:val="center"/>
          </w:tcPr>
          <w:p>
            <w:pPr>
              <w:widowControl/>
              <w:spacing w:line="200" w:lineRule="exact"/>
              <w:contextualSpacing/>
              <w:rPr>
                <w:kern w:val="0"/>
                <w:sz w:val="15"/>
                <w:szCs w:val="15"/>
              </w:rPr>
            </w:pPr>
            <w:r>
              <w:rPr>
                <w:kern w:val="0"/>
                <w:sz w:val="15"/>
                <w:szCs w:val="15"/>
              </w:rPr>
              <w:t>应急</w:t>
            </w:r>
            <w:r>
              <w:rPr>
                <w:rFonts w:hint="eastAsia"/>
                <w:kern w:val="0"/>
                <w:sz w:val="15"/>
                <w:szCs w:val="15"/>
              </w:rPr>
              <w:t>管理</w:t>
            </w:r>
            <w:r>
              <w:rPr>
                <w:kern w:val="0"/>
                <w:sz w:val="15"/>
                <w:szCs w:val="15"/>
              </w:rPr>
              <w:t>部</w:t>
            </w:r>
          </w:p>
        </w:tc>
        <w:tc>
          <w:tcPr>
            <w:tcW w:w="851" w:type="dxa"/>
            <w:noWrap w:val="0"/>
            <w:vAlign w:val="center"/>
          </w:tcPr>
          <w:p>
            <w:pPr>
              <w:widowControl/>
              <w:spacing w:line="200" w:lineRule="exact"/>
              <w:contextualSpacing/>
              <w:rPr>
                <w:kern w:val="0"/>
                <w:sz w:val="15"/>
                <w:szCs w:val="15"/>
              </w:rPr>
            </w:pPr>
            <w:r>
              <w:rPr>
                <w:kern w:val="0"/>
                <w:sz w:val="15"/>
                <w:szCs w:val="15"/>
              </w:rPr>
              <w:t>烟花爆竹经营（零售）许可证核发</w:t>
            </w:r>
          </w:p>
        </w:tc>
        <w:tc>
          <w:tcPr>
            <w:tcW w:w="850" w:type="dxa"/>
            <w:noWrap w:val="0"/>
            <w:vAlign w:val="center"/>
          </w:tcPr>
          <w:p>
            <w:pPr>
              <w:widowControl/>
              <w:spacing w:line="200" w:lineRule="exact"/>
              <w:contextualSpacing/>
              <w:jc w:val="left"/>
              <w:rPr>
                <w:kern w:val="0"/>
                <w:sz w:val="15"/>
                <w:szCs w:val="15"/>
              </w:rPr>
            </w:pPr>
            <w:r>
              <w:rPr>
                <w:kern w:val="0"/>
                <w:sz w:val="15"/>
                <w:szCs w:val="15"/>
              </w:rPr>
              <w:t>烟花爆竹经营（零售）许可证</w:t>
            </w:r>
          </w:p>
        </w:tc>
        <w:tc>
          <w:tcPr>
            <w:tcW w:w="835" w:type="dxa"/>
            <w:noWrap w:val="0"/>
            <w:vAlign w:val="center"/>
          </w:tcPr>
          <w:p>
            <w:pPr>
              <w:widowControl/>
              <w:spacing w:line="200" w:lineRule="exact"/>
              <w:contextualSpacing/>
              <w:rPr>
                <w:kern w:val="0"/>
                <w:sz w:val="15"/>
                <w:szCs w:val="15"/>
              </w:rPr>
            </w:pPr>
            <w:r>
              <w:rPr>
                <w:kern w:val="0"/>
                <w:sz w:val="15"/>
                <w:szCs w:val="15"/>
              </w:rPr>
              <w:t>《烟花爆竹安全管理条例》</w:t>
            </w:r>
          </w:p>
        </w:tc>
        <w:tc>
          <w:tcPr>
            <w:tcW w:w="850" w:type="dxa"/>
            <w:noWrap w:val="0"/>
            <w:vAlign w:val="center"/>
          </w:tcPr>
          <w:p>
            <w:pPr>
              <w:widowControl/>
              <w:spacing w:line="200" w:lineRule="exact"/>
              <w:contextualSpacing/>
              <w:jc w:val="left"/>
              <w:rPr>
                <w:kern w:val="0"/>
                <w:sz w:val="15"/>
                <w:szCs w:val="15"/>
              </w:rPr>
            </w:pPr>
            <w:r>
              <w:rPr>
                <w:kern w:val="0"/>
                <w:sz w:val="15"/>
                <w:szCs w:val="15"/>
              </w:rPr>
              <w:t>县级应急管理部门</w:t>
            </w:r>
          </w:p>
        </w:tc>
        <w:tc>
          <w:tcPr>
            <w:tcW w:w="340" w:type="dxa"/>
            <w:noWrap w:val="0"/>
            <w:vAlign w:val="center"/>
          </w:tcPr>
          <w:p>
            <w:pPr>
              <w:widowControl/>
              <w:spacing w:line="200" w:lineRule="exact"/>
              <w:contextualSpacing/>
              <w:jc w:val="center"/>
              <w:rPr>
                <w:kern w:val="0"/>
                <w:sz w:val="15"/>
                <w:szCs w:val="15"/>
              </w:rPr>
            </w:pPr>
            <w:r>
              <w:rPr>
                <w:kern w:val="0"/>
                <w:sz w:val="15"/>
                <w:szCs w:val="15"/>
              </w:rPr>
              <w:t>　</w:t>
            </w:r>
          </w:p>
        </w:tc>
        <w:tc>
          <w:tcPr>
            <w:tcW w:w="340" w:type="dxa"/>
            <w:noWrap w:val="0"/>
            <w:vAlign w:val="center"/>
          </w:tcPr>
          <w:p>
            <w:pPr>
              <w:widowControl/>
              <w:spacing w:line="200" w:lineRule="exact"/>
              <w:contextualSpacing/>
              <w:jc w:val="center"/>
              <w:rPr>
                <w:kern w:val="0"/>
                <w:sz w:val="15"/>
                <w:szCs w:val="15"/>
              </w:rPr>
            </w:pPr>
            <w:r>
              <w:rPr>
                <w:kern w:val="0"/>
                <w:sz w:val="15"/>
                <w:szCs w:val="15"/>
              </w:rPr>
              <w:t>　</w:t>
            </w:r>
          </w:p>
        </w:tc>
        <w:tc>
          <w:tcPr>
            <w:tcW w:w="340" w:type="dxa"/>
            <w:noWrap w:val="0"/>
            <w:vAlign w:val="center"/>
          </w:tcPr>
          <w:p>
            <w:pPr>
              <w:widowControl/>
              <w:spacing w:line="200" w:lineRule="exact"/>
              <w:contextualSpacing/>
              <w:jc w:val="center"/>
              <w:rPr>
                <w:kern w:val="0"/>
                <w:sz w:val="15"/>
                <w:szCs w:val="15"/>
              </w:rPr>
            </w:pPr>
            <w:r>
              <w:rPr>
                <w:kern w:val="0"/>
                <w:sz w:val="15"/>
                <w:szCs w:val="15"/>
              </w:rPr>
              <w:t>　</w:t>
            </w:r>
          </w:p>
        </w:tc>
        <w:tc>
          <w:tcPr>
            <w:tcW w:w="340" w:type="dxa"/>
            <w:noWrap w:val="0"/>
            <w:vAlign w:val="center"/>
          </w:tcPr>
          <w:p>
            <w:pPr>
              <w:widowControl/>
              <w:spacing w:line="200" w:lineRule="exact"/>
              <w:contextualSpacing/>
              <w:jc w:val="center"/>
              <w:rPr>
                <w:kern w:val="0"/>
                <w:sz w:val="15"/>
                <w:szCs w:val="15"/>
              </w:rPr>
            </w:pPr>
            <w:r>
              <w:rPr>
                <w:kern w:val="0"/>
                <w:sz w:val="15"/>
                <w:szCs w:val="15"/>
              </w:rPr>
              <w:t>√</w:t>
            </w:r>
          </w:p>
        </w:tc>
        <w:tc>
          <w:tcPr>
            <w:tcW w:w="1879" w:type="dxa"/>
            <w:noWrap w:val="0"/>
            <w:vAlign w:val="center"/>
          </w:tcPr>
          <w:p>
            <w:pPr>
              <w:widowControl/>
              <w:spacing w:line="200" w:lineRule="exact"/>
              <w:contextualSpacing/>
              <w:rPr>
                <w:kern w:val="0"/>
                <w:sz w:val="15"/>
                <w:szCs w:val="15"/>
              </w:rPr>
            </w:pPr>
            <w:r>
              <w:rPr>
                <w:kern w:val="0"/>
                <w:sz w:val="15"/>
                <w:szCs w:val="15"/>
              </w:rPr>
              <w:t>1.实现申请、审批全程网上办理。2.将审批时限20个工作日压减至15个工作日。</w:t>
            </w:r>
          </w:p>
        </w:tc>
        <w:tc>
          <w:tcPr>
            <w:tcW w:w="2776" w:type="dxa"/>
            <w:noWrap w:val="0"/>
            <w:vAlign w:val="center"/>
          </w:tcPr>
          <w:p>
            <w:pPr>
              <w:widowControl/>
              <w:spacing w:line="200" w:lineRule="exact"/>
              <w:contextualSpacing/>
              <w:rPr>
                <w:kern w:val="0"/>
                <w:sz w:val="15"/>
                <w:szCs w:val="15"/>
              </w:rPr>
            </w:pPr>
            <w:r>
              <w:rPr>
                <w:kern w:val="0"/>
                <w:sz w:val="15"/>
                <w:szCs w:val="15"/>
              </w:rPr>
              <w:t>1.开展“双随机、一公开”监管，发现违法违规行为依法严查重处并公开结果。2.加强信用监管，向社会公布烟花爆竹经营（零售）企业信用状况，对失信主体开展联合惩戒。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518" w:type="dxa"/>
            <w:noWrap w:val="0"/>
            <w:vAlign w:val="center"/>
          </w:tcPr>
          <w:p>
            <w:pPr>
              <w:widowControl/>
              <w:spacing w:line="200" w:lineRule="exact"/>
              <w:contextualSpacing/>
              <w:jc w:val="center"/>
              <w:rPr>
                <w:kern w:val="0"/>
                <w:sz w:val="15"/>
                <w:szCs w:val="15"/>
              </w:rPr>
            </w:pPr>
            <w:r>
              <w:rPr>
                <w:kern w:val="0"/>
                <w:sz w:val="15"/>
                <w:szCs w:val="15"/>
              </w:rPr>
              <w:t>297</w:t>
            </w:r>
          </w:p>
        </w:tc>
        <w:tc>
          <w:tcPr>
            <w:tcW w:w="567" w:type="dxa"/>
            <w:noWrap w:val="0"/>
            <w:vAlign w:val="center"/>
          </w:tcPr>
          <w:p>
            <w:pPr>
              <w:widowControl/>
              <w:spacing w:line="200" w:lineRule="exact"/>
              <w:contextualSpacing/>
              <w:rPr>
                <w:kern w:val="0"/>
                <w:sz w:val="15"/>
                <w:szCs w:val="15"/>
              </w:rPr>
            </w:pPr>
            <w:r>
              <w:rPr>
                <w:kern w:val="0"/>
                <w:sz w:val="15"/>
                <w:szCs w:val="15"/>
              </w:rPr>
              <w:t>应急</w:t>
            </w:r>
            <w:r>
              <w:rPr>
                <w:rFonts w:hint="eastAsia"/>
                <w:kern w:val="0"/>
                <w:sz w:val="15"/>
                <w:szCs w:val="15"/>
              </w:rPr>
              <w:t>管理</w:t>
            </w:r>
            <w:r>
              <w:rPr>
                <w:kern w:val="0"/>
                <w:sz w:val="15"/>
                <w:szCs w:val="15"/>
              </w:rPr>
              <w:t>部</w:t>
            </w:r>
          </w:p>
        </w:tc>
        <w:tc>
          <w:tcPr>
            <w:tcW w:w="851" w:type="dxa"/>
            <w:noWrap w:val="0"/>
            <w:vAlign w:val="center"/>
          </w:tcPr>
          <w:p>
            <w:pPr>
              <w:widowControl/>
              <w:spacing w:line="200" w:lineRule="exact"/>
              <w:contextualSpacing/>
              <w:rPr>
                <w:kern w:val="0"/>
                <w:sz w:val="15"/>
                <w:szCs w:val="15"/>
              </w:rPr>
            </w:pPr>
            <w:r>
              <w:rPr>
                <w:kern w:val="0"/>
                <w:sz w:val="15"/>
                <w:szCs w:val="15"/>
              </w:rPr>
              <w:t>第一类非药品类易制毒化学品生产许可证核发</w:t>
            </w:r>
          </w:p>
        </w:tc>
        <w:tc>
          <w:tcPr>
            <w:tcW w:w="850" w:type="dxa"/>
            <w:noWrap w:val="0"/>
            <w:vAlign w:val="center"/>
          </w:tcPr>
          <w:p>
            <w:pPr>
              <w:widowControl/>
              <w:spacing w:line="200" w:lineRule="exact"/>
              <w:contextualSpacing/>
              <w:jc w:val="left"/>
              <w:rPr>
                <w:kern w:val="0"/>
                <w:sz w:val="15"/>
                <w:szCs w:val="15"/>
              </w:rPr>
            </w:pPr>
            <w:r>
              <w:rPr>
                <w:kern w:val="0"/>
                <w:sz w:val="15"/>
                <w:szCs w:val="15"/>
              </w:rPr>
              <w:t>第一类非药品类易制毒化学品生产许可证</w:t>
            </w:r>
          </w:p>
        </w:tc>
        <w:tc>
          <w:tcPr>
            <w:tcW w:w="835" w:type="dxa"/>
            <w:noWrap w:val="0"/>
            <w:vAlign w:val="center"/>
          </w:tcPr>
          <w:p>
            <w:pPr>
              <w:widowControl/>
              <w:spacing w:line="200" w:lineRule="exact"/>
              <w:contextualSpacing/>
              <w:rPr>
                <w:kern w:val="0"/>
                <w:sz w:val="15"/>
                <w:szCs w:val="15"/>
              </w:rPr>
            </w:pPr>
            <w:r>
              <w:rPr>
                <w:kern w:val="0"/>
                <w:sz w:val="15"/>
                <w:szCs w:val="15"/>
              </w:rPr>
              <w:t>《易制毒化学品管理条例》</w:t>
            </w:r>
          </w:p>
        </w:tc>
        <w:tc>
          <w:tcPr>
            <w:tcW w:w="850" w:type="dxa"/>
            <w:noWrap w:val="0"/>
            <w:vAlign w:val="center"/>
          </w:tcPr>
          <w:p>
            <w:pPr>
              <w:widowControl/>
              <w:spacing w:line="200" w:lineRule="exact"/>
              <w:contextualSpacing/>
              <w:jc w:val="left"/>
              <w:rPr>
                <w:kern w:val="0"/>
                <w:sz w:val="15"/>
                <w:szCs w:val="15"/>
              </w:rPr>
            </w:pPr>
            <w:r>
              <w:rPr>
                <w:kern w:val="0"/>
                <w:sz w:val="15"/>
                <w:szCs w:val="15"/>
              </w:rPr>
              <w:t>省级应急管理部门</w:t>
            </w:r>
          </w:p>
        </w:tc>
        <w:tc>
          <w:tcPr>
            <w:tcW w:w="340" w:type="dxa"/>
            <w:noWrap w:val="0"/>
            <w:vAlign w:val="center"/>
          </w:tcPr>
          <w:p>
            <w:pPr>
              <w:widowControl/>
              <w:spacing w:line="200" w:lineRule="exact"/>
              <w:contextualSpacing/>
              <w:jc w:val="center"/>
              <w:rPr>
                <w:kern w:val="0"/>
                <w:sz w:val="15"/>
                <w:szCs w:val="15"/>
              </w:rPr>
            </w:pPr>
            <w:r>
              <w:rPr>
                <w:kern w:val="0"/>
                <w:sz w:val="15"/>
                <w:szCs w:val="15"/>
              </w:rPr>
              <w:t>　</w:t>
            </w:r>
          </w:p>
        </w:tc>
        <w:tc>
          <w:tcPr>
            <w:tcW w:w="340" w:type="dxa"/>
            <w:noWrap w:val="0"/>
            <w:vAlign w:val="center"/>
          </w:tcPr>
          <w:p>
            <w:pPr>
              <w:widowControl/>
              <w:spacing w:line="200" w:lineRule="exact"/>
              <w:contextualSpacing/>
              <w:jc w:val="center"/>
              <w:rPr>
                <w:kern w:val="0"/>
                <w:sz w:val="15"/>
                <w:szCs w:val="15"/>
              </w:rPr>
            </w:pPr>
            <w:r>
              <w:rPr>
                <w:kern w:val="0"/>
                <w:sz w:val="15"/>
                <w:szCs w:val="15"/>
              </w:rPr>
              <w:t>　</w:t>
            </w:r>
          </w:p>
        </w:tc>
        <w:tc>
          <w:tcPr>
            <w:tcW w:w="340" w:type="dxa"/>
            <w:noWrap w:val="0"/>
            <w:vAlign w:val="center"/>
          </w:tcPr>
          <w:p>
            <w:pPr>
              <w:widowControl/>
              <w:spacing w:line="200" w:lineRule="exact"/>
              <w:contextualSpacing/>
              <w:jc w:val="center"/>
              <w:rPr>
                <w:kern w:val="0"/>
                <w:sz w:val="15"/>
                <w:szCs w:val="15"/>
              </w:rPr>
            </w:pPr>
            <w:r>
              <w:rPr>
                <w:kern w:val="0"/>
                <w:sz w:val="15"/>
                <w:szCs w:val="15"/>
              </w:rPr>
              <w:t>　</w:t>
            </w:r>
          </w:p>
        </w:tc>
        <w:tc>
          <w:tcPr>
            <w:tcW w:w="340" w:type="dxa"/>
            <w:noWrap w:val="0"/>
            <w:vAlign w:val="center"/>
          </w:tcPr>
          <w:p>
            <w:pPr>
              <w:widowControl/>
              <w:spacing w:line="200" w:lineRule="exact"/>
              <w:contextualSpacing/>
              <w:jc w:val="center"/>
              <w:rPr>
                <w:kern w:val="0"/>
                <w:sz w:val="15"/>
                <w:szCs w:val="15"/>
              </w:rPr>
            </w:pPr>
            <w:r>
              <w:rPr>
                <w:kern w:val="0"/>
                <w:sz w:val="15"/>
                <w:szCs w:val="15"/>
              </w:rPr>
              <w:t>√</w:t>
            </w:r>
          </w:p>
        </w:tc>
        <w:tc>
          <w:tcPr>
            <w:tcW w:w="1879" w:type="dxa"/>
            <w:noWrap w:val="0"/>
            <w:vAlign w:val="center"/>
          </w:tcPr>
          <w:p>
            <w:pPr>
              <w:widowControl/>
              <w:spacing w:line="200" w:lineRule="exact"/>
              <w:contextualSpacing/>
              <w:rPr>
                <w:kern w:val="0"/>
                <w:sz w:val="15"/>
                <w:szCs w:val="15"/>
              </w:rPr>
            </w:pPr>
            <w:r>
              <w:rPr>
                <w:kern w:val="0"/>
                <w:sz w:val="15"/>
                <w:szCs w:val="15"/>
              </w:rPr>
              <w:t>1.实现申请、审批全程网上办理。2.将审批时限由60个工作日压减至40个工作日。</w:t>
            </w:r>
          </w:p>
        </w:tc>
        <w:tc>
          <w:tcPr>
            <w:tcW w:w="2776" w:type="dxa"/>
            <w:noWrap w:val="0"/>
            <w:vAlign w:val="center"/>
          </w:tcPr>
          <w:p>
            <w:pPr>
              <w:widowControl/>
              <w:spacing w:line="200" w:lineRule="exact"/>
              <w:contextualSpacing/>
              <w:rPr>
                <w:kern w:val="0"/>
                <w:sz w:val="15"/>
                <w:szCs w:val="15"/>
              </w:rPr>
            </w:pPr>
            <w:r>
              <w:rPr>
                <w:kern w:val="0"/>
                <w:sz w:val="15"/>
                <w:szCs w:val="15"/>
              </w:rPr>
              <w:t>1.开展“双随机、一公开”监管，发现违法违规行为依法严查重处并公开结果。2.加强信用监管，向社会公布第一类非药品类易制毒化学品生产企业信用状况，对失信主体开展联合惩戒。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518" w:type="dxa"/>
            <w:noWrap w:val="0"/>
            <w:vAlign w:val="center"/>
          </w:tcPr>
          <w:p>
            <w:pPr>
              <w:widowControl/>
              <w:spacing w:line="200" w:lineRule="exact"/>
              <w:contextualSpacing/>
              <w:jc w:val="center"/>
              <w:rPr>
                <w:kern w:val="0"/>
                <w:sz w:val="15"/>
                <w:szCs w:val="15"/>
              </w:rPr>
            </w:pPr>
            <w:r>
              <w:rPr>
                <w:kern w:val="0"/>
                <w:sz w:val="15"/>
                <w:szCs w:val="15"/>
              </w:rPr>
              <w:t>298</w:t>
            </w:r>
          </w:p>
        </w:tc>
        <w:tc>
          <w:tcPr>
            <w:tcW w:w="567" w:type="dxa"/>
            <w:noWrap w:val="0"/>
            <w:vAlign w:val="center"/>
          </w:tcPr>
          <w:p>
            <w:pPr>
              <w:widowControl/>
              <w:spacing w:line="200" w:lineRule="exact"/>
              <w:contextualSpacing/>
              <w:rPr>
                <w:kern w:val="0"/>
                <w:sz w:val="15"/>
                <w:szCs w:val="15"/>
              </w:rPr>
            </w:pPr>
            <w:r>
              <w:rPr>
                <w:kern w:val="0"/>
                <w:sz w:val="15"/>
                <w:szCs w:val="15"/>
              </w:rPr>
              <w:t>应急</w:t>
            </w:r>
            <w:r>
              <w:rPr>
                <w:rFonts w:hint="eastAsia"/>
                <w:kern w:val="0"/>
                <w:sz w:val="15"/>
                <w:szCs w:val="15"/>
              </w:rPr>
              <w:t>管理</w:t>
            </w:r>
            <w:r>
              <w:rPr>
                <w:kern w:val="0"/>
                <w:sz w:val="15"/>
                <w:szCs w:val="15"/>
              </w:rPr>
              <w:t>部</w:t>
            </w:r>
          </w:p>
        </w:tc>
        <w:tc>
          <w:tcPr>
            <w:tcW w:w="851" w:type="dxa"/>
            <w:noWrap w:val="0"/>
            <w:vAlign w:val="center"/>
          </w:tcPr>
          <w:p>
            <w:pPr>
              <w:widowControl/>
              <w:spacing w:line="200" w:lineRule="exact"/>
              <w:contextualSpacing/>
              <w:rPr>
                <w:kern w:val="0"/>
                <w:sz w:val="15"/>
                <w:szCs w:val="15"/>
              </w:rPr>
            </w:pPr>
            <w:r>
              <w:rPr>
                <w:kern w:val="0"/>
                <w:sz w:val="15"/>
                <w:szCs w:val="15"/>
              </w:rPr>
              <w:t>第一类非药品类易制毒化学品经营许可证核发</w:t>
            </w:r>
          </w:p>
        </w:tc>
        <w:tc>
          <w:tcPr>
            <w:tcW w:w="850" w:type="dxa"/>
            <w:noWrap w:val="0"/>
            <w:vAlign w:val="center"/>
          </w:tcPr>
          <w:p>
            <w:pPr>
              <w:widowControl/>
              <w:spacing w:line="200" w:lineRule="exact"/>
              <w:contextualSpacing/>
              <w:jc w:val="left"/>
              <w:rPr>
                <w:kern w:val="0"/>
                <w:sz w:val="15"/>
                <w:szCs w:val="15"/>
              </w:rPr>
            </w:pPr>
            <w:r>
              <w:rPr>
                <w:kern w:val="0"/>
                <w:sz w:val="15"/>
                <w:szCs w:val="15"/>
              </w:rPr>
              <w:t>第一类非药品类易制毒化学品经营许可证</w:t>
            </w:r>
          </w:p>
        </w:tc>
        <w:tc>
          <w:tcPr>
            <w:tcW w:w="835" w:type="dxa"/>
            <w:noWrap w:val="0"/>
            <w:vAlign w:val="center"/>
          </w:tcPr>
          <w:p>
            <w:pPr>
              <w:widowControl/>
              <w:spacing w:line="200" w:lineRule="exact"/>
              <w:contextualSpacing/>
              <w:rPr>
                <w:kern w:val="0"/>
                <w:sz w:val="15"/>
                <w:szCs w:val="15"/>
              </w:rPr>
            </w:pPr>
            <w:r>
              <w:rPr>
                <w:kern w:val="0"/>
                <w:sz w:val="15"/>
                <w:szCs w:val="15"/>
              </w:rPr>
              <w:t>《易制毒化学品管理条例》</w:t>
            </w:r>
          </w:p>
        </w:tc>
        <w:tc>
          <w:tcPr>
            <w:tcW w:w="850" w:type="dxa"/>
            <w:noWrap w:val="0"/>
            <w:vAlign w:val="center"/>
          </w:tcPr>
          <w:p>
            <w:pPr>
              <w:widowControl/>
              <w:spacing w:line="200" w:lineRule="exact"/>
              <w:contextualSpacing/>
              <w:jc w:val="left"/>
              <w:rPr>
                <w:kern w:val="0"/>
                <w:sz w:val="15"/>
                <w:szCs w:val="15"/>
              </w:rPr>
            </w:pPr>
            <w:r>
              <w:rPr>
                <w:kern w:val="0"/>
                <w:sz w:val="15"/>
                <w:szCs w:val="15"/>
              </w:rPr>
              <w:t>省级应急管理部门</w:t>
            </w:r>
          </w:p>
        </w:tc>
        <w:tc>
          <w:tcPr>
            <w:tcW w:w="340" w:type="dxa"/>
            <w:noWrap w:val="0"/>
            <w:vAlign w:val="center"/>
          </w:tcPr>
          <w:p>
            <w:pPr>
              <w:widowControl/>
              <w:spacing w:line="200" w:lineRule="exact"/>
              <w:contextualSpacing/>
              <w:jc w:val="center"/>
              <w:rPr>
                <w:kern w:val="0"/>
                <w:sz w:val="15"/>
                <w:szCs w:val="15"/>
              </w:rPr>
            </w:pPr>
            <w:r>
              <w:rPr>
                <w:kern w:val="0"/>
                <w:sz w:val="15"/>
                <w:szCs w:val="15"/>
              </w:rPr>
              <w:t>　</w:t>
            </w:r>
          </w:p>
        </w:tc>
        <w:tc>
          <w:tcPr>
            <w:tcW w:w="340" w:type="dxa"/>
            <w:noWrap w:val="0"/>
            <w:vAlign w:val="center"/>
          </w:tcPr>
          <w:p>
            <w:pPr>
              <w:widowControl/>
              <w:spacing w:line="200" w:lineRule="exact"/>
              <w:contextualSpacing/>
              <w:jc w:val="center"/>
              <w:rPr>
                <w:kern w:val="0"/>
                <w:sz w:val="15"/>
                <w:szCs w:val="15"/>
              </w:rPr>
            </w:pPr>
            <w:r>
              <w:rPr>
                <w:kern w:val="0"/>
                <w:sz w:val="15"/>
                <w:szCs w:val="15"/>
              </w:rPr>
              <w:t>　</w:t>
            </w:r>
          </w:p>
        </w:tc>
        <w:tc>
          <w:tcPr>
            <w:tcW w:w="340" w:type="dxa"/>
            <w:noWrap w:val="0"/>
            <w:vAlign w:val="center"/>
          </w:tcPr>
          <w:p>
            <w:pPr>
              <w:widowControl/>
              <w:spacing w:line="200" w:lineRule="exact"/>
              <w:contextualSpacing/>
              <w:jc w:val="center"/>
              <w:rPr>
                <w:kern w:val="0"/>
                <w:sz w:val="15"/>
                <w:szCs w:val="15"/>
              </w:rPr>
            </w:pPr>
            <w:r>
              <w:rPr>
                <w:kern w:val="0"/>
                <w:sz w:val="15"/>
                <w:szCs w:val="15"/>
              </w:rPr>
              <w:t>　</w:t>
            </w:r>
          </w:p>
        </w:tc>
        <w:tc>
          <w:tcPr>
            <w:tcW w:w="340" w:type="dxa"/>
            <w:noWrap w:val="0"/>
            <w:vAlign w:val="center"/>
          </w:tcPr>
          <w:p>
            <w:pPr>
              <w:widowControl/>
              <w:spacing w:line="200" w:lineRule="exact"/>
              <w:contextualSpacing/>
              <w:jc w:val="center"/>
              <w:rPr>
                <w:kern w:val="0"/>
                <w:sz w:val="15"/>
                <w:szCs w:val="15"/>
              </w:rPr>
            </w:pPr>
            <w:r>
              <w:rPr>
                <w:kern w:val="0"/>
                <w:sz w:val="15"/>
                <w:szCs w:val="15"/>
              </w:rPr>
              <w:t>√</w:t>
            </w:r>
          </w:p>
        </w:tc>
        <w:tc>
          <w:tcPr>
            <w:tcW w:w="1879" w:type="dxa"/>
            <w:noWrap w:val="0"/>
            <w:vAlign w:val="center"/>
          </w:tcPr>
          <w:p>
            <w:pPr>
              <w:widowControl/>
              <w:spacing w:line="200" w:lineRule="exact"/>
              <w:contextualSpacing/>
              <w:rPr>
                <w:kern w:val="0"/>
                <w:sz w:val="15"/>
                <w:szCs w:val="15"/>
              </w:rPr>
            </w:pPr>
            <w:r>
              <w:rPr>
                <w:kern w:val="0"/>
                <w:sz w:val="15"/>
                <w:szCs w:val="15"/>
              </w:rPr>
              <w:t>1.实现申请、审批全程网上办理。2.将审批时限由30个工作日压减至20个工作日。</w:t>
            </w:r>
          </w:p>
        </w:tc>
        <w:tc>
          <w:tcPr>
            <w:tcW w:w="2776" w:type="dxa"/>
            <w:noWrap w:val="0"/>
            <w:vAlign w:val="center"/>
          </w:tcPr>
          <w:p>
            <w:pPr>
              <w:widowControl/>
              <w:spacing w:line="200" w:lineRule="exact"/>
              <w:contextualSpacing/>
              <w:rPr>
                <w:kern w:val="0"/>
                <w:sz w:val="15"/>
                <w:szCs w:val="15"/>
              </w:rPr>
            </w:pPr>
            <w:r>
              <w:rPr>
                <w:kern w:val="0"/>
                <w:sz w:val="15"/>
                <w:szCs w:val="15"/>
              </w:rPr>
              <w:t>1.开展“双随机、一公开”监管，发现违法违规行为依法严查重处并公开结果。2.加强信用监管，向社会公布第一类非药品类易制毒化学品经营企业信用状况，对失信主体开展联合惩戒。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jc w:val="center"/>
        </w:trPr>
        <w:tc>
          <w:tcPr>
            <w:tcW w:w="518" w:type="dxa"/>
            <w:noWrap w:val="0"/>
            <w:vAlign w:val="center"/>
          </w:tcPr>
          <w:p>
            <w:pPr>
              <w:widowControl/>
              <w:spacing w:line="200" w:lineRule="exact"/>
              <w:contextualSpacing/>
              <w:jc w:val="center"/>
              <w:rPr>
                <w:kern w:val="0"/>
                <w:sz w:val="15"/>
                <w:szCs w:val="15"/>
              </w:rPr>
            </w:pPr>
            <w:r>
              <w:rPr>
                <w:kern w:val="0"/>
                <w:sz w:val="15"/>
                <w:szCs w:val="15"/>
              </w:rPr>
              <w:t>299</w:t>
            </w:r>
          </w:p>
        </w:tc>
        <w:tc>
          <w:tcPr>
            <w:tcW w:w="567" w:type="dxa"/>
            <w:noWrap w:val="0"/>
            <w:vAlign w:val="center"/>
          </w:tcPr>
          <w:p>
            <w:pPr>
              <w:widowControl/>
              <w:spacing w:line="200" w:lineRule="exact"/>
              <w:contextualSpacing/>
              <w:rPr>
                <w:kern w:val="0"/>
                <w:sz w:val="15"/>
                <w:szCs w:val="15"/>
              </w:rPr>
            </w:pPr>
            <w:r>
              <w:rPr>
                <w:kern w:val="0"/>
                <w:sz w:val="15"/>
                <w:szCs w:val="15"/>
              </w:rPr>
              <w:t>应急</w:t>
            </w:r>
            <w:r>
              <w:rPr>
                <w:rFonts w:hint="eastAsia"/>
                <w:kern w:val="0"/>
                <w:sz w:val="15"/>
                <w:szCs w:val="15"/>
              </w:rPr>
              <w:t>管理</w:t>
            </w:r>
            <w:r>
              <w:rPr>
                <w:kern w:val="0"/>
                <w:sz w:val="15"/>
                <w:szCs w:val="15"/>
              </w:rPr>
              <w:t>部</w:t>
            </w:r>
          </w:p>
        </w:tc>
        <w:tc>
          <w:tcPr>
            <w:tcW w:w="851" w:type="dxa"/>
            <w:noWrap w:val="0"/>
            <w:vAlign w:val="center"/>
          </w:tcPr>
          <w:p>
            <w:pPr>
              <w:widowControl/>
              <w:spacing w:line="200" w:lineRule="exact"/>
              <w:contextualSpacing/>
              <w:rPr>
                <w:kern w:val="0"/>
                <w:sz w:val="15"/>
                <w:szCs w:val="15"/>
              </w:rPr>
            </w:pPr>
            <w:r>
              <w:rPr>
                <w:kern w:val="0"/>
                <w:sz w:val="15"/>
                <w:szCs w:val="15"/>
              </w:rPr>
              <w:t>危险化学品生产企业安全生产许可证核发</w:t>
            </w:r>
          </w:p>
        </w:tc>
        <w:tc>
          <w:tcPr>
            <w:tcW w:w="850" w:type="dxa"/>
            <w:noWrap w:val="0"/>
            <w:vAlign w:val="center"/>
          </w:tcPr>
          <w:p>
            <w:pPr>
              <w:widowControl/>
              <w:spacing w:line="200" w:lineRule="exact"/>
              <w:contextualSpacing/>
              <w:jc w:val="left"/>
              <w:rPr>
                <w:kern w:val="0"/>
                <w:sz w:val="15"/>
                <w:szCs w:val="15"/>
              </w:rPr>
            </w:pPr>
            <w:r>
              <w:rPr>
                <w:kern w:val="0"/>
                <w:sz w:val="15"/>
                <w:szCs w:val="15"/>
              </w:rPr>
              <w:t>安全生产许可证（危险化学品）</w:t>
            </w:r>
          </w:p>
        </w:tc>
        <w:tc>
          <w:tcPr>
            <w:tcW w:w="835" w:type="dxa"/>
            <w:noWrap w:val="0"/>
            <w:vAlign w:val="center"/>
          </w:tcPr>
          <w:p>
            <w:pPr>
              <w:widowControl/>
              <w:spacing w:line="200" w:lineRule="exact"/>
              <w:contextualSpacing/>
              <w:rPr>
                <w:kern w:val="0"/>
                <w:sz w:val="15"/>
                <w:szCs w:val="15"/>
              </w:rPr>
            </w:pPr>
            <w:r>
              <w:rPr>
                <w:kern w:val="0"/>
                <w:sz w:val="15"/>
                <w:szCs w:val="15"/>
              </w:rPr>
              <w:t>《危险化学品安全管理条例》</w:t>
            </w:r>
          </w:p>
        </w:tc>
        <w:tc>
          <w:tcPr>
            <w:tcW w:w="850" w:type="dxa"/>
            <w:noWrap w:val="0"/>
            <w:vAlign w:val="center"/>
          </w:tcPr>
          <w:p>
            <w:pPr>
              <w:widowControl/>
              <w:spacing w:line="200" w:lineRule="exact"/>
              <w:contextualSpacing/>
              <w:jc w:val="left"/>
              <w:rPr>
                <w:kern w:val="0"/>
                <w:sz w:val="15"/>
                <w:szCs w:val="15"/>
              </w:rPr>
            </w:pPr>
            <w:r>
              <w:rPr>
                <w:kern w:val="0"/>
                <w:sz w:val="15"/>
                <w:szCs w:val="15"/>
              </w:rPr>
              <w:t>应急部；省、设区的市级应急管理部门</w:t>
            </w:r>
          </w:p>
        </w:tc>
        <w:tc>
          <w:tcPr>
            <w:tcW w:w="340" w:type="dxa"/>
            <w:noWrap w:val="0"/>
            <w:vAlign w:val="center"/>
          </w:tcPr>
          <w:p>
            <w:pPr>
              <w:widowControl/>
              <w:spacing w:line="200" w:lineRule="exact"/>
              <w:contextualSpacing/>
              <w:jc w:val="center"/>
              <w:rPr>
                <w:kern w:val="0"/>
                <w:sz w:val="15"/>
                <w:szCs w:val="15"/>
              </w:rPr>
            </w:pPr>
            <w:r>
              <w:rPr>
                <w:kern w:val="0"/>
                <w:sz w:val="15"/>
                <w:szCs w:val="15"/>
              </w:rPr>
              <w:t>　</w:t>
            </w:r>
          </w:p>
        </w:tc>
        <w:tc>
          <w:tcPr>
            <w:tcW w:w="340" w:type="dxa"/>
            <w:noWrap w:val="0"/>
            <w:vAlign w:val="center"/>
          </w:tcPr>
          <w:p>
            <w:pPr>
              <w:widowControl/>
              <w:spacing w:line="200" w:lineRule="exact"/>
              <w:contextualSpacing/>
              <w:jc w:val="center"/>
              <w:rPr>
                <w:kern w:val="0"/>
                <w:sz w:val="15"/>
                <w:szCs w:val="15"/>
              </w:rPr>
            </w:pPr>
            <w:r>
              <w:rPr>
                <w:kern w:val="0"/>
                <w:sz w:val="15"/>
                <w:szCs w:val="15"/>
              </w:rPr>
              <w:t>　</w:t>
            </w:r>
          </w:p>
        </w:tc>
        <w:tc>
          <w:tcPr>
            <w:tcW w:w="340" w:type="dxa"/>
            <w:noWrap w:val="0"/>
            <w:vAlign w:val="center"/>
          </w:tcPr>
          <w:p>
            <w:pPr>
              <w:widowControl/>
              <w:spacing w:line="200" w:lineRule="exact"/>
              <w:contextualSpacing/>
              <w:jc w:val="center"/>
              <w:rPr>
                <w:kern w:val="0"/>
                <w:sz w:val="15"/>
                <w:szCs w:val="15"/>
              </w:rPr>
            </w:pPr>
            <w:r>
              <w:rPr>
                <w:kern w:val="0"/>
                <w:sz w:val="15"/>
                <w:szCs w:val="15"/>
              </w:rPr>
              <w:t>　</w:t>
            </w:r>
          </w:p>
        </w:tc>
        <w:tc>
          <w:tcPr>
            <w:tcW w:w="340" w:type="dxa"/>
            <w:noWrap w:val="0"/>
            <w:vAlign w:val="center"/>
          </w:tcPr>
          <w:p>
            <w:pPr>
              <w:widowControl/>
              <w:spacing w:line="200" w:lineRule="exact"/>
              <w:contextualSpacing/>
              <w:jc w:val="center"/>
              <w:rPr>
                <w:kern w:val="0"/>
                <w:sz w:val="15"/>
                <w:szCs w:val="15"/>
              </w:rPr>
            </w:pPr>
            <w:r>
              <w:rPr>
                <w:kern w:val="0"/>
                <w:sz w:val="15"/>
                <w:szCs w:val="15"/>
              </w:rPr>
              <w:t>√</w:t>
            </w:r>
          </w:p>
        </w:tc>
        <w:tc>
          <w:tcPr>
            <w:tcW w:w="1879" w:type="dxa"/>
            <w:noWrap w:val="0"/>
            <w:vAlign w:val="center"/>
          </w:tcPr>
          <w:p>
            <w:pPr>
              <w:widowControl/>
              <w:spacing w:line="200" w:lineRule="exact"/>
              <w:contextualSpacing/>
              <w:rPr>
                <w:kern w:val="0"/>
                <w:sz w:val="15"/>
                <w:szCs w:val="15"/>
              </w:rPr>
            </w:pPr>
            <w:r>
              <w:rPr>
                <w:kern w:val="0"/>
                <w:sz w:val="15"/>
                <w:szCs w:val="15"/>
              </w:rPr>
              <w:t>1.实现申请、审批全程网上办理。2.将审批时限由45个工作日压减至30个工作日。</w:t>
            </w:r>
          </w:p>
        </w:tc>
        <w:tc>
          <w:tcPr>
            <w:tcW w:w="2776" w:type="dxa"/>
            <w:noWrap w:val="0"/>
            <w:vAlign w:val="center"/>
          </w:tcPr>
          <w:p>
            <w:pPr>
              <w:widowControl/>
              <w:spacing w:line="200" w:lineRule="exact"/>
              <w:contextualSpacing/>
              <w:rPr>
                <w:kern w:val="0"/>
                <w:sz w:val="15"/>
                <w:szCs w:val="15"/>
              </w:rPr>
            </w:pPr>
            <w:r>
              <w:rPr>
                <w:kern w:val="0"/>
                <w:sz w:val="15"/>
                <w:szCs w:val="15"/>
              </w:rPr>
              <w:t>1.开展“双随机、一公开”监管，发现违法违规行为依法严查重处并公开结果。2.加强信用监管，向社会公布危险化学品生产企业信用状况，对失信主体开展联合惩戒。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518" w:type="dxa"/>
            <w:noWrap w:val="0"/>
            <w:vAlign w:val="center"/>
          </w:tcPr>
          <w:p>
            <w:pPr>
              <w:widowControl/>
              <w:spacing w:line="200" w:lineRule="exact"/>
              <w:contextualSpacing/>
              <w:jc w:val="center"/>
              <w:rPr>
                <w:kern w:val="0"/>
                <w:sz w:val="15"/>
                <w:szCs w:val="15"/>
              </w:rPr>
            </w:pPr>
            <w:r>
              <w:rPr>
                <w:kern w:val="0"/>
                <w:sz w:val="15"/>
                <w:szCs w:val="15"/>
              </w:rPr>
              <w:t>300</w:t>
            </w:r>
          </w:p>
        </w:tc>
        <w:tc>
          <w:tcPr>
            <w:tcW w:w="567" w:type="dxa"/>
            <w:noWrap w:val="0"/>
            <w:vAlign w:val="center"/>
          </w:tcPr>
          <w:p>
            <w:pPr>
              <w:widowControl/>
              <w:spacing w:line="200" w:lineRule="exact"/>
              <w:contextualSpacing/>
              <w:rPr>
                <w:kern w:val="0"/>
                <w:sz w:val="15"/>
                <w:szCs w:val="15"/>
              </w:rPr>
            </w:pPr>
            <w:r>
              <w:rPr>
                <w:kern w:val="0"/>
                <w:sz w:val="15"/>
                <w:szCs w:val="15"/>
              </w:rPr>
              <w:t>应急</w:t>
            </w:r>
            <w:r>
              <w:rPr>
                <w:rFonts w:hint="eastAsia"/>
                <w:kern w:val="0"/>
                <w:sz w:val="15"/>
                <w:szCs w:val="15"/>
              </w:rPr>
              <w:t>管理</w:t>
            </w:r>
            <w:r>
              <w:rPr>
                <w:kern w:val="0"/>
                <w:sz w:val="15"/>
                <w:szCs w:val="15"/>
              </w:rPr>
              <w:t>部</w:t>
            </w:r>
          </w:p>
        </w:tc>
        <w:tc>
          <w:tcPr>
            <w:tcW w:w="851" w:type="dxa"/>
            <w:noWrap w:val="0"/>
            <w:vAlign w:val="center"/>
          </w:tcPr>
          <w:p>
            <w:pPr>
              <w:widowControl/>
              <w:spacing w:line="200" w:lineRule="exact"/>
              <w:contextualSpacing/>
              <w:rPr>
                <w:kern w:val="0"/>
                <w:sz w:val="15"/>
                <w:szCs w:val="15"/>
              </w:rPr>
            </w:pPr>
            <w:r>
              <w:rPr>
                <w:kern w:val="0"/>
                <w:sz w:val="15"/>
                <w:szCs w:val="15"/>
              </w:rPr>
              <w:t>危险化学品经营许可证核发</w:t>
            </w:r>
          </w:p>
        </w:tc>
        <w:tc>
          <w:tcPr>
            <w:tcW w:w="850" w:type="dxa"/>
            <w:noWrap w:val="0"/>
            <w:vAlign w:val="center"/>
          </w:tcPr>
          <w:p>
            <w:pPr>
              <w:widowControl/>
              <w:spacing w:line="200" w:lineRule="exact"/>
              <w:contextualSpacing/>
              <w:jc w:val="left"/>
              <w:rPr>
                <w:kern w:val="0"/>
                <w:sz w:val="15"/>
                <w:szCs w:val="15"/>
              </w:rPr>
            </w:pPr>
            <w:r>
              <w:rPr>
                <w:kern w:val="0"/>
                <w:sz w:val="15"/>
                <w:szCs w:val="15"/>
              </w:rPr>
              <w:t>危险化学品经营许可证</w:t>
            </w:r>
          </w:p>
        </w:tc>
        <w:tc>
          <w:tcPr>
            <w:tcW w:w="835" w:type="dxa"/>
            <w:noWrap w:val="0"/>
            <w:vAlign w:val="center"/>
          </w:tcPr>
          <w:p>
            <w:pPr>
              <w:widowControl/>
              <w:spacing w:line="200" w:lineRule="exact"/>
              <w:contextualSpacing/>
              <w:rPr>
                <w:kern w:val="0"/>
                <w:sz w:val="15"/>
                <w:szCs w:val="15"/>
              </w:rPr>
            </w:pPr>
            <w:r>
              <w:rPr>
                <w:kern w:val="0"/>
                <w:sz w:val="15"/>
                <w:szCs w:val="15"/>
              </w:rPr>
              <w:t>《危险化学品安全管理条例》</w:t>
            </w:r>
          </w:p>
        </w:tc>
        <w:tc>
          <w:tcPr>
            <w:tcW w:w="850" w:type="dxa"/>
            <w:noWrap w:val="0"/>
            <w:vAlign w:val="center"/>
          </w:tcPr>
          <w:p>
            <w:pPr>
              <w:widowControl/>
              <w:spacing w:line="200" w:lineRule="exact"/>
              <w:contextualSpacing/>
              <w:jc w:val="left"/>
              <w:rPr>
                <w:kern w:val="0"/>
                <w:sz w:val="15"/>
                <w:szCs w:val="15"/>
              </w:rPr>
            </w:pPr>
            <w:r>
              <w:rPr>
                <w:kern w:val="0"/>
                <w:sz w:val="15"/>
                <w:szCs w:val="15"/>
              </w:rPr>
              <w:t>设区的市、县级应急管理部门</w:t>
            </w:r>
          </w:p>
        </w:tc>
        <w:tc>
          <w:tcPr>
            <w:tcW w:w="340" w:type="dxa"/>
            <w:noWrap w:val="0"/>
            <w:vAlign w:val="center"/>
          </w:tcPr>
          <w:p>
            <w:pPr>
              <w:widowControl/>
              <w:spacing w:line="200" w:lineRule="exact"/>
              <w:contextualSpacing/>
              <w:jc w:val="center"/>
              <w:rPr>
                <w:kern w:val="0"/>
                <w:sz w:val="15"/>
                <w:szCs w:val="15"/>
              </w:rPr>
            </w:pPr>
            <w:r>
              <w:rPr>
                <w:kern w:val="0"/>
                <w:sz w:val="15"/>
                <w:szCs w:val="15"/>
              </w:rPr>
              <w:t>　</w:t>
            </w:r>
          </w:p>
        </w:tc>
        <w:tc>
          <w:tcPr>
            <w:tcW w:w="340" w:type="dxa"/>
            <w:noWrap w:val="0"/>
            <w:vAlign w:val="center"/>
          </w:tcPr>
          <w:p>
            <w:pPr>
              <w:widowControl/>
              <w:spacing w:line="200" w:lineRule="exact"/>
              <w:contextualSpacing/>
              <w:jc w:val="center"/>
              <w:rPr>
                <w:kern w:val="0"/>
                <w:sz w:val="15"/>
                <w:szCs w:val="15"/>
              </w:rPr>
            </w:pPr>
            <w:r>
              <w:rPr>
                <w:kern w:val="0"/>
                <w:sz w:val="15"/>
                <w:szCs w:val="15"/>
              </w:rPr>
              <w:t>　</w:t>
            </w:r>
          </w:p>
        </w:tc>
        <w:tc>
          <w:tcPr>
            <w:tcW w:w="340" w:type="dxa"/>
            <w:noWrap w:val="0"/>
            <w:vAlign w:val="center"/>
          </w:tcPr>
          <w:p>
            <w:pPr>
              <w:widowControl/>
              <w:spacing w:line="200" w:lineRule="exact"/>
              <w:contextualSpacing/>
              <w:jc w:val="center"/>
              <w:rPr>
                <w:kern w:val="0"/>
                <w:sz w:val="15"/>
                <w:szCs w:val="15"/>
              </w:rPr>
            </w:pPr>
            <w:r>
              <w:rPr>
                <w:kern w:val="0"/>
                <w:sz w:val="15"/>
                <w:szCs w:val="15"/>
              </w:rPr>
              <w:t>　</w:t>
            </w:r>
          </w:p>
        </w:tc>
        <w:tc>
          <w:tcPr>
            <w:tcW w:w="340" w:type="dxa"/>
            <w:noWrap w:val="0"/>
            <w:vAlign w:val="center"/>
          </w:tcPr>
          <w:p>
            <w:pPr>
              <w:widowControl/>
              <w:spacing w:line="200" w:lineRule="exact"/>
              <w:contextualSpacing/>
              <w:jc w:val="center"/>
              <w:rPr>
                <w:kern w:val="0"/>
                <w:sz w:val="15"/>
                <w:szCs w:val="15"/>
              </w:rPr>
            </w:pPr>
            <w:r>
              <w:rPr>
                <w:kern w:val="0"/>
                <w:sz w:val="15"/>
                <w:szCs w:val="15"/>
              </w:rPr>
              <w:t>√</w:t>
            </w:r>
          </w:p>
        </w:tc>
        <w:tc>
          <w:tcPr>
            <w:tcW w:w="1879" w:type="dxa"/>
            <w:noWrap w:val="0"/>
            <w:vAlign w:val="center"/>
          </w:tcPr>
          <w:p>
            <w:pPr>
              <w:widowControl/>
              <w:spacing w:line="200" w:lineRule="exact"/>
              <w:contextualSpacing/>
              <w:rPr>
                <w:kern w:val="0"/>
                <w:sz w:val="15"/>
                <w:szCs w:val="15"/>
              </w:rPr>
            </w:pPr>
            <w:r>
              <w:rPr>
                <w:kern w:val="0"/>
                <w:sz w:val="15"/>
                <w:szCs w:val="15"/>
              </w:rPr>
              <w:t>1.实现申请、审批全程网上办理。2.将审批时限由30个工作日压减至20个工作日。</w:t>
            </w:r>
          </w:p>
        </w:tc>
        <w:tc>
          <w:tcPr>
            <w:tcW w:w="2776" w:type="dxa"/>
            <w:noWrap w:val="0"/>
            <w:vAlign w:val="center"/>
          </w:tcPr>
          <w:p>
            <w:pPr>
              <w:widowControl/>
              <w:spacing w:line="200" w:lineRule="exact"/>
              <w:contextualSpacing/>
              <w:rPr>
                <w:kern w:val="0"/>
                <w:sz w:val="15"/>
                <w:szCs w:val="15"/>
              </w:rPr>
            </w:pPr>
            <w:r>
              <w:rPr>
                <w:kern w:val="0"/>
                <w:sz w:val="15"/>
                <w:szCs w:val="15"/>
              </w:rPr>
              <w:t>1.开展“双随机、一公开”监管，发现违法违规行为依法严查重处并公开结果。2.加强信用监管，向社会公布危险化学品经营企业信用状况，对失信主体开展联合惩戒。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518" w:type="dxa"/>
            <w:noWrap w:val="0"/>
            <w:vAlign w:val="center"/>
          </w:tcPr>
          <w:p>
            <w:pPr>
              <w:widowControl/>
              <w:spacing w:line="200" w:lineRule="exact"/>
              <w:contextualSpacing/>
              <w:jc w:val="center"/>
              <w:rPr>
                <w:kern w:val="0"/>
                <w:sz w:val="15"/>
                <w:szCs w:val="15"/>
              </w:rPr>
            </w:pPr>
            <w:r>
              <w:rPr>
                <w:kern w:val="0"/>
                <w:sz w:val="15"/>
                <w:szCs w:val="15"/>
              </w:rPr>
              <w:t>301</w:t>
            </w:r>
          </w:p>
        </w:tc>
        <w:tc>
          <w:tcPr>
            <w:tcW w:w="567" w:type="dxa"/>
            <w:noWrap w:val="0"/>
            <w:vAlign w:val="center"/>
          </w:tcPr>
          <w:p>
            <w:pPr>
              <w:widowControl/>
              <w:spacing w:line="200" w:lineRule="exact"/>
              <w:contextualSpacing/>
              <w:rPr>
                <w:kern w:val="0"/>
                <w:sz w:val="15"/>
                <w:szCs w:val="15"/>
              </w:rPr>
            </w:pPr>
            <w:r>
              <w:rPr>
                <w:kern w:val="0"/>
                <w:sz w:val="15"/>
                <w:szCs w:val="15"/>
              </w:rPr>
              <w:t>应急</w:t>
            </w:r>
            <w:r>
              <w:rPr>
                <w:rFonts w:hint="eastAsia"/>
                <w:kern w:val="0"/>
                <w:sz w:val="15"/>
                <w:szCs w:val="15"/>
              </w:rPr>
              <w:t>管理</w:t>
            </w:r>
            <w:r>
              <w:rPr>
                <w:kern w:val="0"/>
                <w:sz w:val="15"/>
                <w:szCs w:val="15"/>
              </w:rPr>
              <w:t>部</w:t>
            </w:r>
          </w:p>
        </w:tc>
        <w:tc>
          <w:tcPr>
            <w:tcW w:w="851" w:type="dxa"/>
            <w:noWrap w:val="0"/>
            <w:vAlign w:val="center"/>
          </w:tcPr>
          <w:p>
            <w:pPr>
              <w:widowControl/>
              <w:spacing w:line="200" w:lineRule="exact"/>
              <w:contextualSpacing/>
              <w:rPr>
                <w:kern w:val="0"/>
                <w:sz w:val="15"/>
                <w:szCs w:val="15"/>
              </w:rPr>
            </w:pPr>
            <w:r>
              <w:rPr>
                <w:kern w:val="0"/>
                <w:sz w:val="15"/>
                <w:szCs w:val="15"/>
              </w:rPr>
              <w:t>危险化学品安全使用许可证核发</w:t>
            </w:r>
          </w:p>
        </w:tc>
        <w:tc>
          <w:tcPr>
            <w:tcW w:w="850" w:type="dxa"/>
            <w:noWrap w:val="0"/>
            <w:vAlign w:val="center"/>
          </w:tcPr>
          <w:p>
            <w:pPr>
              <w:widowControl/>
              <w:spacing w:line="200" w:lineRule="exact"/>
              <w:contextualSpacing/>
              <w:jc w:val="left"/>
              <w:rPr>
                <w:kern w:val="0"/>
                <w:sz w:val="15"/>
                <w:szCs w:val="15"/>
              </w:rPr>
            </w:pPr>
            <w:r>
              <w:rPr>
                <w:kern w:val="0"/>
                <w:sz w:val="15"/>
                <w:szCs w:val="15"/>
              </w:rPr>
              <w:t>危险化学品安全使用许可证</w:t>
            </w:r>
          </w:p>
        </w:tc>
        <w:tc>
          <w:tcPr>
            <w:tcW w:w="835" w:type="dxa"/>
            <w:noWrap w:val="0"/>
            <w:vAlign w:val="center"/>
          </w:tcPr>
          <w:p>
            <w:pPr>
              <w:widowControl/>
              <w:spacing w:line="200" w:lineRule="exact"/>
              <w:contextualSpacing/>
              <w:rPr>
                <w:kern w:val="0"/>
                <w:sz w:val="15"/>
                <w:szCs w:val="15"/>
              </w:rPr>
            </w:pPr>
            <w:r>
              <w:rPr>
                <w:kern w:val="0"/>
                <w:sz w:val="15"/>
                <w:szCs w:val="15"/>
              </w:rPr>
              <w:t>《危险化学品安全管理条例》</w:t>
            </w:r>
          </w:p>
        </w:tc>
        <w:tc>
          <w:tcPr>
            <w:tcW w:w="850" w:type="dxa"/>
            <w:noWrap w:val="0"/>
            <w:vAlign w:val="center"/>
          </w:tcPr>
          <w:p>
            <w:pPr>
              <w:widowControl/>
              <w:spacing w:line="200" w:lineRule="exact"/>
              <w:contextualSpacing/>
              <w:jc w:val="left"/>
              <w:rPr>
                <w:kern w:val="0"/>
                <w:sz w:val="15"/>
                <w:szCs w:val="15"/>
              </w:rPr>
            </w:pPr>
            <w:r>
              <w:rPr>
                <w:kern w:val="0"/>
                <w:sz w:val="15"/>
                <w:szCs w:val="15"/>
              </w:rPr>
              <w:t>设区的市级应急管理部门</w:t>
            </w:r>
          </w:p>
        </w:tc>
        <w:tc>
          <w:tcPr>
            <w:tcW w:w="340" w:type="dxa"/>
            <w:noWrap w:val="0"/>
            <w:vAlign w:val="center"/>
          </w:tcPr>
          <w:p>
            <w:pPr>
              <w:widowControl/>
              <w:spacing w:line="200" w:lineRule="exact"/>
              <w:contextualSpacing/>
              <w:jc w:val="center"/>
              <w:rPr>
                <w:kern w:val="0"/>
                <w:sz w:val="15"/>
                <w:szCs w:val="15"/>
              </w:rPr>
            </w:pPr>
            <w:r>
              <w:rPr>
                <w:kern w:val="0"/>
                <w:sz w:val="15"/>
                <w:szCs w:val="15"/>
              </w:rPr>
              <w:t>　</w:t>
            </w:r>
          </w:p>
        </w:tc>
        <w:tc>
          <w:tcPr>
            <w:tcW w:w="340" w:type="dxa"/>
            <w:noWrap w:val="0"/>
            <w:vAlign w:val="center"/>
          </w:tcPr>
          <w:p>
            <w:pPr>
              <w:widowControl/>
              <w:spacing w:line="200" w:lineRule="exact"/>
              <w:contextualSpacing/>
              <w:jc w:val="center"/>
              <w:rPr>
                <w:kern w:val="0"/>
                <w:sz w:val="15"/>
                <w:szCs w:val="15"/>
              </w:rPr>
            </w:pPr>
            <w:r>
              <w:rPr>
                <w:kern w:val="0"/>
                <w:sz w:val="15"/>
                <w:szCs w:val="15"/>
              </w:rPr>
              <w:t>　</w:t>
            </w:r>
          </w:p>
        </w:tc>
        <w:tc>
          <w:tcPr>
            <w:tcW w:w="340" w:type="dxa"/>
            <w:noWrap w:val="0"/>
            <w:vAlign w:val="center"/>
          </w:tcPr>
          <w:p>
            <w:pPr>
              <w:widowControl/>
              <w:spacing w:line="200" w:lineRule="exact"/>
              <w:contextualSpacing/>
              <w:jc w:val="center"/>
              <w:rPr>
                <w:kern w:val="0"/>
                <w:sz w:val="15"/>
                <w:szCs w:val="15"/>
              </w:rPr>
            </w:pPr>
            <w:r>
              <w:rPr>
                <w:kern w:val="0"/>
                <w:sz w:val="15"/>
                <w:szCs w:val="15"/>
              </w:rPr>
              <w:t>　</w:t>
            </w:r>
          </w:p>
        </w:tc>
        <w:tc>
          <w:tcPr>
            <w:tcW w:w="340" w:type="dxa"/>
            <w:noWrap w:val="0"/>
            <w:vAlign w:val="center"/>
          </w:tcPr>
          <w:p>
            <w:pPr>
              <w:widowControl/>
              <w:spacing w:line="200" w:lineRule="exact"/>
              <w:contextualSpacing/>
              <w:jc w:val="center"/>
              <w:rPr>
                <w:kern w:val="0"/>
                <w:sz w:val="15"/>
                <w:szCs w:val="15"/>
              </w:rPr>
            </w:pPr>
            <w:r>
              <w:rPr>
                <w:kern w:val="0"/>
                <w:sz w:val="15"/>
                <w:szCs w:val="15"/>
              </w:rPr>
              <w:t>√</w:t>
            </w:r>
          </w:p>
        </w:tc>
        <w:tc>
          <w:tcPr>
            <w:tcW w:w="1879" w:type="dxa"/>
            <w:noWrap w:val="0"/>
            <w:vAlign w:val="center"/>
          </w:tcPr>
          <w:p>
            <w:pPr>
              <w:widowControl/>
              <w:spacing w:line="200" w:lineRule="exact"/>
              <w:contextualSpacing/>
              <w:rPr>
                <w:kern w:val="0"/>
                <w:sz w:val="15"/>
                <w:szCs w:val="15"/>
              </w:rPr>
            </w:pPr>
            <w:r>
              <w:rPr>
                <w:kern w:val="0"/>
                <w:sz w:val="15"/>
                <w:szCs w:val="15"/>
              </w:rPr>
              <w:t>1.实现申请、审批全程网上办理。2.将审批时限由45个工作日压减至30个工作日。</w:t>
            </w:r>
          </w:p>
        </w:tc>
        <w:tc>
          <w:tcPr>
            <w:tcW w:w="2776" w:type="dxa"/>
            <w:noWrap w:val="0"/>
            <w:vAlign w:val="center"/>
          </w:tcPr>
          <w:p>
            <w:pPr>
              <w:widowControl/>
              <w:spacing w:line="200" w:lineRule="exact"/>
              <w:contextualSpacing/>
              <w:rPr>
                <w:kern w:val="0"/>
                <w:sz w:val="15"/>
                <w:szCs w:val="15"/>
              </w:rPr>
            </w:pPr>
            <w:r>
              <w:rPr>
                <w:kern w:val="0"/>
                <w:sz w:val="15"/>
                <w:szCs w:val="15"/>
              </w:rPr>
              <w:t>1.开展“双随机、一公开”监管，发现违法违规行为依法严查重处并公开结果。2.加强信用监管，向社会公布危险化学品使用企业信用状况，对失信主体开展联合惩戒。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9" w:hRule="atLeast"/>
          <w:jc w:val="center"/>
        </w:trPr>
        <w:tc>
          <w:tcPr>
            <w:tcW w:w="518" w:type="dxa"/>
            <w:noWrap w:val="0"/>
            <w:vAlign w:val="center"/>
          </w:tcPr>
          <w:p>
            <w:pPr>
              <w:widowControl/>
              <w:spacing w:line="200" w:lineRule="exact"/>
              <w:contextualSpacing/>
              <w:jc w:val="center"/>
              <w:rPr>
                <w:kern w:val="0"/>
                <w:sz w:val="15"/>
                <w:szCs w:val="15"/>
              </w:rPr>
            </w:pPr>
            <w:r>
              <w:rPr>
                <w:kern w:val="0"/>
                <w:sz w:val="15"/>
                <w:szCs w:val="15"/>
              </w:rPr>
              <w:t>302</w:t>
            </w:r>
          </w:p>
        </w:tc>
        <w:tc>
          <w:tcPr>
            <w:tcW w:w="567" w:type="dxa"/>
            <w:noWrap w:val="0"/>
            <w:vAlign w:val="center"/>
          </w:tcPr>
          <w:p>
            <w:pPr>
              <w:widowControl/>
              <w:spacing w:line="200" w:lineRule="exact"/>
              <w:contextualSpacing/>
              <w:rPr>
                <w:kern w:val="0"/>
                <w:sz w:val="15"/>
                <w:szCs w:val="15"/>
              </w:rPr>
            </w:pPr>
            <w:r>
              <w:rPr>
                <w:kern w:val="0"/>
                <w:sz w:val="15"/>
                <w:szCs w:val="15"/>
              </w:rPr>
              <w:t>应急</w:t>
            </w:r>
            <w:r>
              <w:rPr>
                <w:rFonts w:hint="eastAsia"/>
                <w:kern w:val="0"/>
                <w:sz w:val="15"/>
                <w:szCs w:val="15"/>
              </w:rPr>
              <w:t>管理</w:t>
            </w:r>
            <w:r>
              <w:rPr>
                <w:kern w:val="0"/>
                <w:sz w:val="15"/>
                <w:szCs w:val="15"/>
              </w:rPr>
              <w:t>部</w:t>
            </w:r>
          </w:p>
        </w:tc>
        <w:tc>
          <w:tcPr>
            <w:tcW w:w="851" w:type="dxa"/>
            <w:noWrap w:val="0"/>
            <w:vAlign w:val="center"/>
          </w:tcPr>
          <w:p>
            <w:pPr>
              <w:widowControl/>
              <w:spacing w:line="200" w:lineRule="exact"/>
              <w:contextualSpacing/>
              <w:rPr>
                <w:kern w:val="0"/>
                <w:sz w:val="15"/>
                <w:szCs w:val="15"/>
              </w:rPr>
            </w:pPr>
            <w:r>
              <w:rPr>
                <w:kern w:val="0"/>
                <w:sz w:val="15"/>
                <w:szCs w:val="15"/>
              </w:rPr>
              <w:t>新建、改建、扩建生产、储存危险化学品（包括使用长输管道输送危险化学品）建设项目安全条件审查</w:t>
            </w:r>
          </w:p>
        </w:tc>
        <w:tc>
          <w:tcPr>
            <w:tcW w:w="850" w:type="dxa"/>
            <w:noWrap w:val="0"/>
            <w:vAlign w:val="center"/>
          </w:tcPr>
          <w:p>
            <w:pPr>
              <w:widowControl/>
              <w:spacing w:line="200" w:lineRule="exact"/>
              <w:contextualSpacing/>
              <w:jc w:val="left"/>
              <w:rPr>
                <w:kern w:val="0"/>
                <w:sz w:val="15"/>
                <w:szCs w:val="15"/>
              </w:rPr>
            </w:pPr>
            <w:r>
              <w:rPr>
                <w:kern w:val="0"/>
                <w:sz w:val="15"/>
                <w:szCs w:val="15"/>
              </w:rPr>
              <w:t>危险化学品建设项目安全条件审查意见书</w:t>
            </w:r>
          </w:p>
        </w:tc>
        <w:tc>
          <w:tcPr>
            <w:tcW w:w="835" w:type="dxa"/>
            <w:noWrap w:val="0"/>
            <w:vAlign w:val="center"/>
          </w:tcPr>
          <w:p>
            <w:pPr>
              <w:widowControl/>
              <w:spacing w:line="200" w:lineRule="exact"/>
              <w:contextualSpacing/>
              <w:rPr>
                <w:kern w:val="0"/>
                <w:sz w:val="15"/>
                <w:szCs w:val="15"/>
              </w:rPr>
            </w:pPr>
            <w:r>
              <w:rPr>
                <w:kern w:val="0"/>
                <w:sz w:val="15"/>
                <w:szCs w:val="15"/>
              </w:rPr>
              <w:t>《危险化学品安全管理条例》</w:t>
            </w:r>
          </w:p>
        </w:tc>
        <w:tc>
          <w:tcPr>
            <w:tcW w:w="850" w:type="dxa"/>
            <w:noWrap w:val="0"/>
            <w:vAlign w:val="center"/>
          </w:tcPr>
          <w:p>
            <w:pPr>
              <w:widowControl/>
              <w:spacing w:line="200" w:lineRule="exact"/>
              <w:contextualSpacing/>
              <w:jc w:val="left"/>
              <w:rPr>
                <w:kern w:val="0"/>
                <w:sz w:val="15"/>
                <w:szCs w:val="15"/>
              </w:rPr>
            </w:pPr>
            <w:r>
              <w:rPr>
                <w:kern w:val="0"/>
                <w:sz w:val="15"/>
                <w:szCs w:val="15"/>
              </w:rPr>
              <w:t>应急</w:t>
            </w:r>
            <w:r>
              <w:rPr>
                <w:rFonts w:hint="eastAsia"/>
                <w:kern w:val="0"/>
                <w:sz w:val="15"/>
                <w:szCs w:val="15"/>
              </w:rPr>
              <w:t>管理</w:t>
            </w:r>
            <w:r>
              <w:rPr>
                <w:kern w:val="0"/>
                <w:sz w:val="15"/>
                <w:szCs w:val="15"/>
              </w:rPr>
              <w:t>部；省、设区的市级应急管理部门</w:t>
            </w:r>
          </w:p>
        </w:tc>
        <w:tc>
          <w:tcPr>
            <w:tcW w:w="340" w:type="dxa"/>
            <w:noWrap w:val="0"/>
            <w:vAlign w:val="center"/>
          </w:tcPr>
          <w:p>
            <w:pPr>
              <w:widowControl/>
              <w:spacing w:line="200" w:lineRule="exact"/>
              <w:contextualSpacing/>
              <w:jc w:val="center"/>
              <w:rPr>
                <w:kern w:val="0"/>
                <w:sz w:val="15"/>
                <w:szCs w:val="15"/>
              </w:rPr>
            </w:pPr>
            <w:r>
              <w:rPr>
                <w:kern w:val="0"/>
                <w:sz w:val="15"/>
                <w:szCs w:val="15"/>
              </w:rPr>
              <w:t>　</w:t>
            </w:r>
          </w:p>
        </w:tc>
        <w:tc>
          <w:tcPr>
            <w:tcW w:w="340" w:type="dxa"/>
            <w:noWrap w:val="0"/>
            <w:vAlign w:val="center"/>
          </w:tcPr>
          <w:p>
            <w:pPr>
              <w:widowControl/>
              <w:spacing w:line="200" w:lineRule="exact"/>
              <w:contextualSpacing/>
              <w:jc w:val="center"/>
              <w:rPr>
                <w:kern w:val="0"/>
                <w:sz w:val="15"/>
                <w:szCs w:val="15"/>
              </w:rPr>
            </w:pPr>
            <w:r>
              <w:rPr>
                <w:kern w:val="0"/>
                <w:sz w:val="15"/>
                <w:szCs w:val="15"/>
              </w:rPr>
              <w:t>　</w:t>
            </w:r>
          </w:p>
        </w:tc>
        <w:tc>
          <w:tcPr>
            <w:tcW w:w="340" w:type="dxa"/>
            <w:noWrap w:val="0"/>
            <w:vAlign w:val="center"/>
          </w:tcPr>
          <w:p>
            <w:pPr>
              <w:widowControl/>
              <w:spacing w:line="200" w:lineRule="exact"/>
              <w:contextualSpacing/>
              <w:jc w:val="center"/>
              <w:rPr>
                <w:kern w:val="0"/>
                <w:sz w:val="15"/>
                <w:szCs w:val="15"/>
              </w:rPr>
            </w:pPr>
            <w:r>
              <w:rPr>
                <w:kern w:val="0"/>
                <w:sz w:val="15"/>
                <w:szCs w:val="15"/>
              </w:rPr>
              <w:t>　</w:t>
            </w:r>
          </w:p>
        </w:tc>
        <w:tc>
          <w:tcPr>
            <w:tcW w:w="340" w:type="dxa"/>
            <w:noWrap w:val="0"/>
            <w:vAlign w:val="center"/>
          </w:tcPr>
          <w:p>
            <w:pPr>
              <w:widowControl/>
              <w:spacing w:line="200" w:lineRule="exact"/>
              <w:contextualSpacing/>
              <w:jc w:val="center"/>
              <w:rPr>
                <w:kern w:val="0"/>
                <w:sz w:val="15"/>
                <w:szCs w:val="15"/>
              </w:rPr>
            </w:pPr>
            <w:r>
              <w:rPr>
                <w:kern w:val="0"/>
                <w:sz w:val="15"/>
                <w:szCs w:val="15"/>
              </w:rPr>
              <w:t>√</w:t>
            </w:r>
          </w:p>
        </w:tc>
        <w:tc>
          <w:tcPr>
            <w:tcW w:w="1879" w:type="dxa"/>
            <w:noWrap w:val="0"/>
            <w:vAlign w:val="center"/>
          </w:tcPr>
          <w:p>
            <w:pPr>
              <w:widowControl/>
              <w:spacing w:line="200" w:lineRule="exact"/>
              <w:contextualSpacing/>
              <w:rPr>
                <w:kern w:val="0"/>
                <w:sz w:val="15"/>
                <w:szCs w:val="15"/>
              </w:rPr>
            </w:pPr>
            <w:r>
              <w:rPr>
                <w:kern w:val="0"/>
                <w:sz w:val="15"/>
                <w:szCs w:val="15"/>
              </w:rPr>
              <w:t>1.实现申请、审批全程网上办理。2.将审批时限由45个工作日压减至30个工作日。</w:t>
            </w:r>
          </w:p>
        </w:tc>
        <w:tc>
          <w:tcPr>
            <w:tcW w:w="2776" w:type="dxa"/>
            <w:noWrap w:val="0"/>
            <w:vAlign w:val="center"/>
          </w:tcPr>
          <w:p>
            <w:pPr>
              <w:widowControl/>
              <w:spacing w:line="200" w:lineRule="exact"/>
              <w:contextualSpacing/>
              <w:rPr>
                <w:kern w:val="0"/>
                <w:sz w:val="15"/>
                <w:szCs w:val="15"/>
              </w:rPr>
            </w:pPr>
            <w:r>
              <w:rPr>
                <w:kern w:val="0"/>
                <w:sz w:val="15"/>
                <w:szCs w:val="15"/>
              </w:rPr>
              <w:t>1.开展“双随机、一公开”监管，发现违法违规行为依法严查重处并公开结果。2.加强信用监管，对失信主体开展联合惩戒。</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275649"/>
    <w:rsid w:val="3A275649"/>
    <w:rsid w:val="52660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2019-11-28T07:10:00Z</dcterms:created>
  <dc:creator>PC-Only</dc:creator>
  <cp:lastModifiedBy>PC-Only</cp:lastModifiedBy>
  <dcterms:modified xsi:type="dcterms:W3CDTF">2019-11-28T07:25:25Z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